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7811B" w14:textId="77777777" w:rsidR="005B534F" w:rsidRPr="00E1506C" w:rsidRDefault="005B534F" w:rsidP="0032208C">
      <w:pPr>
        <w:rPr>
          <w:b/>
          <w:sz w:val="28"/>
          <w:szCs w:val="28"/>
        </w:rPr>
      </w:pPr>
      <w:bookmarkStart w:id="0" w:name="_Toc297533694"/>
      <w:bookmarkStart w:id="1" w:name="_Toc163976448"/>
      <w:bookmarkStart w:id="2" w:name="_Toc165213100"/>
    </w:p>
    <w:p w14:paraId="386760B5" w14:textId="77777777" w:rsidR="006D3342" w:rsidRDefault="006D3342" w:rsidP="0032208C">
      <w:pPr>
        <w:spacing w:after="240"/>
        <w:rPr>
          <w:b/>
          <w:sz w:val="52"/>
          <w:szCs w:val="52"/>
        </w:rPr>
      </w:pPr>
    </w:p>
    <w:p w14:paraId="70F5DD7D" w14:textId="77777777" w:rsidR="006D3342" w:rsidRDefault="006D3342" w:rsidP="0032208C">
      <w:pPr>
        <w:spacing w:after="240"/>
        <w:rPr>
          <w:b/>
          <w:sz w:val="52"/>
          <w:szCs w:val="52"/>
        </w:rPr>
      </w:pPr>
    </w:p>
    <w:p w14:paraId="19EFB69C" w14:textId="01B4F589" w:rsidR="00676137" w:rsidRPr="00A1666C" w:rsidRDefault="00413573" w:rsidP="004F441E">
      <w:pPr>
        <w:jc w:val="right"/>
        <w:rPr>
          <w:b/>
          <w:sz w:val="52"/>
          <w:szCs w:val="52"/>
        </w:rPr>
      </w:pPr>
      <w:r w:rsidRPr="00A1666C">
        <w:rPr>
          <w:b/>
          <w:sz w:val="52"/>
          <w:szCs w:val="52"/>
        </w:rPr>
        <w:t xml:space="preserve">Overview of </w:t>
      </w:r>
      <w:r w:rsidR="00A14C48" w:rsidRPr="00A1666C">
        <w:rPr>
          <w:b/>
          <w:sz w:val="52"/>
          <w:szCs w:val="52"/>
        </w:rPr>
        <w:t>the legal and policy frameworks addressing ‘vulnerability’ of violation of fundamental rights and poverty and social exclusion and groups at risk in Bulgaria</w:t>
      </w:r>
    </w:p>
    <w:p w14:paraId="044D7A5A" w14:textId="167B9E0A" w:rsidR="00413573" w:rsidRPr="00A1666C" w:rsidRDefault="00413573" w:rsidP="004F441E">
      <w:pPr>
        <w:jc w:val="right"/>
        <w:rPr>
          <w:b/>
          <w:sz w:val="52"/>
          <w:szCs w:val="52"/>
        </w:rPr>
      </w:pPr>
      <w:r w:rsidRPr="00A1666C">
        <w:rPr>
          <w:b/>
          <w:sz w:val="52"/>
          <w:szCs w:val="52"/>
        </w:rPr>
        <w:t xml:space="preserve">Report </w:t>
      </w:r>
    </w:p>
    <w:p w14:paraId="1C3D4AE0" w14:textId="77777777" w:rsidR="00676137" w:rsidRPr="00A1666C" w:rsidRDefault="00676137" w:rsidP="0032208C">
      <w:pPr>
        <w:rPr>
          <w:b/>
          <w:sz w:val="52"/>
          <w:szCs w:val="52"/>
        </w:rPr>
      </w:pPr>
    </w:p>
    <w:p w14:paraId="766E42CC" w14:textId="63FBD0B0" w:rsidR="00676137" w:rsidRPr="00655E1A" w:rsidRDefault="00655E1A" w:rsidP="00655E1A">
      <w:pPr>
        <w:jc w:val="right"/>
        <w:rPr>
          <w:sz w:val="52"/>
          <w:szCs w:val="52"/>
        </w:rPr>
      </w:pPr>
      <w:bookmarkStart w:id="3" w:name="_GoBack"/>
      <w:r w:rsidRPr="00655E1A">
        <w:rPr>
          <w:sz w:val="52"/>
          <w:szCs w:val="52"/>
        </w:rPr>
        <w:t>Draft December 2019</w:t>
      </w:r>
    </w:p>
    <w:bookmarkEnd w:id="3"/>
    <w:p w14:paraId="7F057AA0" w14:textId="77777777" w:rsidR="00676137" w:rsidRPr="00A1666C" w:rsidRDefault="00676137" w:rsidP="0032208C">
      <w:pPr>
        <w:rPr>
          <w:b/>
          <w:sz w:val="28"/>
          <w:szCs w:val="28"/>
        </w:rPr>
      </w:pPr>
    </w:p>
    <w:p w14:paraId="103E4955" w14:textId="77777777" w:rsidR="00676137" w:rsidRPr="00A1666C" w:rsidRDefault="00676137" w:rsidP="0032208C">
      <w:pPr>
        <w:rPr>
          <w:b/>
          <w:sz w:val="28"/>
          <w:szCs w:val="28"/>
        </w:rPr>
      </w:pPr>
    </w:p>
    <w:p w14:paraId="40900970" w14:textId="77777777" w:rsidR="00676137" w:rsidRPr="00A1666C" w:rsidRDefault="00676137" w:rsidP="0032208C">
      <w:pPr>
        <w:rPr>
          <w:b/>
          <w:sz w:val="28"/>
          <w:szCs w:val="28"/>
        </w:rPr>
      </w:pPr>
    </w:p>
    <w:p w14:paraId="40C745DB" w14:textId="77777777" w:rsidR="006D3342" w:rsidRPr="00A1666C" w:rsidRDefault="006D3342" w:rsidP="0032208C">
      <w:pPr>
        <w:rPr>
          <w:b/>
          <w:sz w:val="28"/>
          <w:szCs w:val="28"/>
        </w:rPr>
      </w:pPr>
    </w:p>
    <w:p w14:paraId="70C6D312" w14:textId="3B9464B0" w:rsidR="00676137" w:rsidRPr="00A1666C" w:rsidRDefault="00676137" w:rsidP="0032208C">
      <w:pPr>
        <w:rPr>
          <w:b/>
          <w:sz w:val="28"/>
          <w:szCs w:val="28"/>
        </w:rPr>
      </w:pPr>
      <w:r w:rsidRPr="00A1666C">
        <w:rPr>
          <w:b/>
          <w:sz w:val="28"/>
          <w:szCs w:val="28"/>
        </w:rPr>
        <w:t>Country:</w:t>
      </w:r>
      <w:r w:rsidR="005D3DE8" w:rsidRPr="00A1666C">
        <w:rPr>
          <w:b/>
          <w:sz w:val="28"/>
          <w:szCs w:val="28"/>
        </w:rPr>
        <w:t xml:space="preserve"> Bulgaria</w:t>
      </w:r>
      <w:r w:rsidRPr="00A1666C">
        <w:rPr>
          <w:b/>
          <w:sz w:val="28"/>
          <w:szCs w:val="28"/>
        </w:rPr>
        <w:tab/>
      </w:r>
      <w:r w:rsidRPr="00A1666C">
        <w:rPr>
          <w:b/>
          <w:sz w:val="28"/>
          <w:szCs w:val="28"/>
        </w:rPr>
        <w:tab/>
      </w:r>
      <w:r w:rsidRPr="00A1666C">
        <w:rPr>
          <w:b/>
          <w:sz w:val="28"/>
          <w:szCs w:val="28"/>
        </w:rPr>
        <w:tab/>
      </w:r>
    </w:p>
    <w:p w14:paraId="169C3B06" w14:textId="393FFF1C" w:rsidR="00676137" w:rsidRPr="00A1666C" w:rsidRDefault="00676137" w:rsidP="0032208C">
      <w:pPr>
        <w:ind w:left="2880" w:hanging="2880"/>
        <w:rPr>
          <w:b/>
          <w:sz w:val="28"/>
          <w:szCs w:val="28"/>
        </w:rPr>
      </w:pPr>
      <w:r w:rsidRPr="00A1666C">
        <w:rPr>
          <w:b/>
          <w:sz w:val="28"/>
          <w:szCs w:val="28"/>
        </w:rPr>
        <w:t>Contractor’s name:</w:t>
      </w:r>
      <w:r w:rsidR="005D3DE8" w:rsidRPr="00A1666C">
        <w:rPr>
          <w:b/>
          <w:sz w:val="28"/>
          <w:szCs w:val="28"/>
        </w:rPr>
        <w:t xml:space="preserve"> Project One (Center for the Study of Democracy)</w:t>
      </w:r>
    </w:p>
    <w:p w14:paraId="77A984EC" w14:textId="77956D8C" w:rsidR="00413573" w:rsidRPr="00A1666C" w:rsidRDefault="00413573" w:rsidP="0032208C">
      <w:pPr>
        <w:tabs>
          <w:tab w:val="left" w:pos="2410"/>
        </w:tabs>
        <w:ind w:left="2410" w:hanging="2410"/>
        <w:rPr>
          <w:b/>
          <w:sz w:val="28"/>
          <w:szCs w:val="28"/>
        </w:rPr>
      </w:pPr>
      <w:r w:rsidRPr="00A1666C">
        <w:rPr>
          <w:b/>
          <w:sz w:val="28"/>
          <w:szCs w:val="28"/>
        </w:rPr>
        <w:t xml:space="preserve">Author(s) name: </w:t>
      </w:r>
      <w:r w:rsidR="00A14C48" w:rsidRPr="00A1666C">
        <w:rPr>
          <w:b/>
          <w:sz w:val="28"/>
          <w:szCs w:val="28"/>
        </w:rPr>
        <w:t xml:space="preserve">Miriana Ilcheva, </w:t>
      </w:r>
      <w:r w:rsidR="0055101F">
        <w:rPr>
          <w:b/>
          <w:sz w:val="28"/>
          <w:szCs w:val="28"/>
        </w:rPr>
        <w:t>Leda Kuneva</w:t>
      </w:r>
    </w:p>
    <w:p w14:paraId="3D5D4BA5" w14:textId="77777777" w:rsidR="00413573" w:rsidRPr="00A1666C" w:rsidRDefault="00413573" w:rsidP="0032208C">
      <w:pPr>
        <w:tabs>
          <w:tab w:val="left" w:pos="2410"/>
        </w:tabs>
        <w:ind w:left="2410" w:hanging="2410"/>
        <w:rPr>
          <w:b/>
          <w:sz w:val="28"/>
          <w:szCs w:val="28"/>
        </w:rPr>
      </w:pPr>
      <w:r w:rsidRPr="00A1666C">
        <w:rPr>
          <w:b/>
          <w:sz w:val="28"/>
          <w:szCs w:val="28"/>
        </w:rPr>
        <w:t>Reviewed by: Dr Maria Yordanova</w:t>
      </w:r>
    </w:p>
    <w:p w14:paraId="59568BAF" w14:textId="0CBEEA9A" w:rsidR="00676137" w:rsidRPr="00A1666C" w:rsidRDefault="00413573" w:rsidP="0032208C">
      <w:pPr>
        <w:tabs>
          <w:tab w:val="left" w:pos="2410"/>
        </w:tabs>
        <w:ind w:left="2410" w:hanging="2410"/>
        <w:rPr>
          <w:b/>
          <w:sz w:val="28"/>
          <w:szCs w:val="28"/>
        </w:rPr>
      </w:pPr>
      <w:r w:rsidRPr="00A1666C">
        <w:rPr>
          <w:b/>
          <w:sz w:val="28"/>
          <w:szCs w:val="28"/>
        </w:rPr>
        <w:t xml:space="preserve">Date: </w:t>
      </w:r>
      <w:r w:rsidR="00C60482">
        <w:rPr>
          <w:b/>
          <w:sz w:val="28"/>
          <w:szCs w:val="28"/>
        </w:rPr>
        <w:t>9 September 2019</w:t>
      </w:r>
      <w:r w:rsidR="00676137" w:rsidRPr="00A1666C">
        <w:rPr>
          <w:b/>
          <w:sz w:val="28"/>
          <w:szCs w:val="28"/>
        </w:rPr>
        <w:tab/>
      </w:r>
      <w:r w:rsidR="00676137" w:rsidRPr="00A1666C">
        <w:rPr>
          <w:b/>
          <w:sz w:val="28"/>
          <w:szCs w:val="28"/>
        </w:rPr>
        <w:tab/>
      </w:r>
    </w:p>
    <w:p w14:paraId="090374FB" w14:textId="77777777" w:rsidR="00676137" w:rsidRPr="00A1666C" w:rsidRDefault="00676137" w:rsidP="0032208C">
      <w:pPr>
        <w:spacing w:after="200" w:line="276" w:lineRule="auto"/>
        <w:rPr>
          <w:b/>
          <w:sz w:val="28"/>
          <w:szCs w:val="28"/>
        </w:rPr>
      </w:pPr>
      <w:r w:rsidRPr="00A1666C">
        <w:rPr>
          <w:b/>
          <w:sz w:val="28"/>
          <w:szCs w:val="28"/>
        </w:rPr>
        <w:br w:type="page"/>
      </w:r>
    </w:p>
    <w:sdt>
      <w:sdtPr>
        <w:rPr>
          <w:rFonts w:ascii="Times New Roman" w:eastAsia="Calibri" w:hAnsi="Times New Roman" w:cs="Times New Roman"/>
          <w:color w:val="auto"/>
          <w:sz w:val="22"/>
          <w:szCs w:val="22"/>
          <w:lang w:val="en-IE"/>
        </w:rPr>
        <w:id w:val="2123103663"/>
        <w:docPartObj>
          <w:docPartGallery w:val="Table of Contents"/>
          <w:docPartUnique/>
        </w:docPartObj>
      </w:sdtPr>
      <w:sdtEndPr>
        <w:rPr>
          <w:rFonts w:ascii="Arial" w:eastAsia="Arial" w:hAnsi="Arial" w:cs="Arial"/>
          <w:b/>
          <w:bCs/>
          <w:noProof/>
          <w:sz w:val="18"/>
          <w:szCs w:val="18"/>
          <w:lang w:val="en-GB"/>
        </w:rPr>
      </w:sdtEndPr>
      <w:sdtContent>
        <w:p w14:paraId="2CFAF8E0" w14:textId="397E59C1" w:rsidR="008F1A54" w:rsidRPr="00A1666C" w:rsidRDefault="008F1A54" w:rsidP="0032208C">
          <w:pPr>
            <w:pStyle w:val="TOCHeading"/>
          </w:pPr>
          <w:r w:rsidRPr="00A1666C">
            <w:t>Contents</w:t>
          </w:r>
        </w:p>
        <w:p w14:paraId="0AEAD0C5" w14:textId="77777777" w:rsidR="008E6E1A" w:rsidRDefault="008F1A54">
          <w:pPr>
            <w:pStyle w:val="TOC1"/>
            <w:rPr>
              <w:rFonts w:eastAsiaTheme="minorEastAsia"/>
              <w:noProof/>
              <w:lang w:val="bg-BG" w:eastAsia="bg-BG"/>
            </w:rPr>
          </w:pPr>
          <w:r w:rsidRPr="00A1666C">
            <w:fldChar w:fldCharType="begin"/>
          </w:r>
          <w:r w:rsidRPr="00A1666C">
            <w:instrText xml:space="preserve"> TOC \o "1-3" \h \z \u </w:instrText>
          </w:r>
          <w:r w:rsidRPr="00A1666C">
            <w:fldChar w:fldCharType="separate"/>
          </w:r>
          <w:hyperlink w:anchor="_Toc18446558" w:history="1">
            <w:r w:rsidR="008E6E1A" w:rsidRPr="00242AC7">
              <w:rPr>
                <w:rStyle w:val="Hyperlink"/>
                <w:noProof/>
                <w:lang w:bidi="en-US"/>
              </w:rPr>
              <w:t>1.</w:t>
            </w:r>
            <w:r w:rsidR="008E6E1A">
              <w:rPr>
                <w:rFonts w:eastAsiaTheme="minorEastAsia"/>
                <w:noProof/>
                <w:lang w:val="bg-BG" w:eastAsia="bg-BG"/>
              </w:rPr>
              <w:tab/>
            </w:r>
            <w:r w:rsidR="008E6E1A" w:rsidRPr="00242AC7">
              <w:rPr>
                <w:rStyle w:val="Hyperlink"/>
                <w:noProof/>
                <w:lang w:bidi="en-US"/>
              </w:rPr>
              <w:t>Overview of vulnerable groups</w:t>
            </w:r>
            <w:r w:rsidR="008E6E1A">
              <w:rPr>
                <w:noProof/>
                <w:webHidden/>
              </w:rPr>
              <w:tab/>
            </w:r>
            <w:r w:rsidR="008E6E1A">
              <w:rPr>
                <w:noProof/>
                <w:webHidden/>
              </w:rPr>
              <w:fldChar w:fldCharType="begin"/>
            </w:r>
            <w:r w:rsidR="008E6E1A">
              <w:rPr>
                <w:noProof/>
                <w:webHidden/>
              </w:rPr>
              <w:instrText xml:space="preserve"> PAGEREF _Toc18446558 \h </w:instrText>
            </w:r>
            <w:r w:rsidR="008E6E1A">
              <w:rPr>
                <w:noProof/>
                <w:webHidden/>
              </w:rPr>
            </w:r>
            <w:r w:rsidR="008E6E1A">
              <w:rPr>
                <w:noProof/>
                <w:webHidden/>
              </w:rPr>
              <w:fldChar w:fldCharType="separate"/>
            </w:r>
            <w:r w:rsidR="008E6E1A">
              <w:rPr>
                <w:noProof/>
                <w:webHidden/>
              </w:rPr>
              <w:t>3</w:t>
            </w:r>
            <w:r w:rsidR="008E6E1A">
              <w:rPr>
                <w:noProof/>
                <w:webHidden/>
              </w:rPr>
              <w:fldChar w:fldCharType="end"/>
            </w:r>
          </w:hyperlink>
        </w:p>
        <w:p w14:paraId="6D57BDA7" w14:textId="77777777" w:rsidR="008E6E1A" w:rsidRDefault="008F4830">
          <w:pPr>
            <w:pStyle w:val="TOC1"/>
            <w:rPr>
              <w:rFonts w:eastAsiaTheme="minorEastAsia"/>
              <w:noProof/>
              <w:lang w:val="bg-BG" w:eastAsia="bg-BG"/>
            </w:rPr>
          </w:pPr>
          <w:hyperlink w:anchor="_Toc18446559" w:history="1">
            <w:r w:rsidR="008E6E1A" w:rsidRPr="00242AC7">
              <w:rPr>
                <w:rStyle w:val="Hyperlink"/>
                <w:noProof/>
                <w:lang w:bidi="en-US"/>
              </w:rPr>
              <w:t>2.</w:t>
            </w:r>
            <w:r w:rsidR="008E6E1A">
              <w:rPr>
                <w:rFonts w:eastAsiaTheme="minorEastAsia"/>
                <w:noProof/>
                <w:lang w:val="bg-BG" w:eastAsia="bg-BG"/>
              </w:rPr>
              <w:tab/>
            </w:r>
            <w:r w:rsidR="008E6E1A" w:rsidRPr="00242AC7">
              <w:rPr>
                <w:rStyle w:val="Hyperlink"/>
                <w:noProof/>
                <w:lang w:bidi="en-US"/>
              </w:rPr>
              <w:t>Summary of definitions</w:t>
            </w:r>
            <w:r w:rsidR="008E6E1A">
              <w:rPr>
                <w:noProof/>
                <w:webHidden/>
              </w:rPr>
              <w:tab/>
            </w:r>
            <w:r w:rsidR="008E6E1A">
              <w:rPr>
                <w:noProof/>
                <w:webHidden/>
              </w:rPr>
              <w:fldChar w:fldCharType="begin"/>
            </w:r>
            <w:r w:rsidR="008E6E1A">
              <w:rPr>
                <w:noProof/>
                <w:webHidden/>
              </w:rPr>
              <w:instrText xml:space="preserve"> PAGEREF _Toc18446559 \h </w:instrText>
            </w:r>
            <w:r w:rsidR="008E6E1A">
              <w:rPr>
                <w:noProof/>
                <w:webHidden/>
              </w:rPr>
            </w:r>
            <w:r w:rsidR="008E6E1A">
              <w:rPr>
                <w:noProof/>
                <w:webHidden/>
              </w:rPr>
              <w:fldChar w:fldCharType="separate"/>
            </w:r>
            <w:r w:rsidR="008E6E1A">
              <w:rPr>
                <w:noProof/>
                <w:webHidden/>
              </w:rPr>
              <w:t>4</w:t>
            </w:r>
            <w:r w:rsidR="008E6E1A">
              <w:rPr>
                <w:noProof/>
                <w:webHidden/>
              </w:rPr>
              <w:fldChar w:fldCharType="end"/>
            </w:r>
          </w:hyperlink>
        </w:p>
        <w:p w14:paraId="5A139053" w14:textId="77777777" w:rsidR="008E6E1A" w:rsidRDefault="008F4830">
          <w:pPr>
            <w:pStyle w:val="TOC1"/>
            <w:rPr>
              <w:rFonts w:eastAsiaTheme="minorEastAsia"/>
              <w:noProof/>
              <w:lang w:val="bg-BG" w:eastAsia="bg-BG"/>
            </w:rPr>
          </w:pPr>
          <w:hyperlink w:anchor="_Toc18446560" w:history="1">
            <w:r w:rsidR="008E6E1A" w:rsidRPr="00242AC7">
              <w:rPr>
                <w:rStyle w:val="Hyperlink"/>
                <w:noProof/>
                <w:lang w:bidi="en-US"/>
              </w:rPr>
              <w:t>3.</w:t>
            </w:r>
            <w:r w:rsidR="008E6E1A">
              <w:rPr>
                <w:rFonts w:eastAsiaTheme="minorEastAsia"/>
                <w:noProof/>
                <w:lang w:val="bg-BG" w:eastAsia="bg-BG"/>
              </w:rPr>
              <w:tab/>
            </w:r>
            <w:r w:rsidR="008E6E1A" w:rsidRPr="00242AC7">
              <w:rPr>
                <w:rStyle w:val="Hyperlink"/>
                <w:noProof/>
                <w:lang w:bidi="en-US"/>
              </w:rPr>
              <w:t>Review of Bulgarian legal acts</w:t>
            </w:r>
            <w:r w:rsidR="008E6E1A">
              <w:rPr>
                <w:noProof/>
                <w:webHidden/>
              </w:rPr>
              <w:tab/>
            </w:r>
            <w:r w:rsidR="008E6E1A">
              <w:rPr>
                <w:noProof/>
                <w:webHidden/>
              </w:rPr>
              <w:fldChar w:fldCharType="begin"/>
            </w:r>
            <w:r w:rsidR="008E6E1A">
              <w:rPr>
                <w:noProof/>
                <w:webHidden/>
              </w:rPr>
              <w:instrText xml:space="preserve"> PAGEREF _Toc18446560 \h </w:instrText>
            </w:r>
            <w:r w:rsidR="008E6E1A">
              <w:rPr>
                <w:noProof/>
                <w:webHidden/>
              </w:rPr>
            </w:r>
            <w:r w:rsidR="008E6E1A">
              <w:rPr>
                <w:noProof/>
                <w:webHidden/>
              </w:rPr>
              <w:fldChar w:fldCharType="separate"/>
            </w:r>
            <w:r w:rsidR="008E6E1A">
              <w:rPr>
                <w:noProof/>
                <w:webHidden/>
              </w:rPr>
              <w:t>10</w:t>
            </w:r>
            <w:r w:rsidR="008E6E1A">
              <w:rPr>
                <w:noProof/>
                <w:webHidden/>
              </w:rPr>
              <w:fldChar w:fldCharType="end"/>
            </w:r>
          </w:hyperlink>
        </w:p>
        <w:p w14:paraId="3B94A648" w14:textId="77777777" w:rsidR="008E6E1A" w:rsidRDefault="008F4830">
          <w:pPr>
            <w:pStyle w:val="TOC1"/>
            <w:rPr>
              <w:rFonts w:eastAsiaTheme="minorEastAsia"/>
              <w:noProof/>
              <w:lang w:val="bg-BG" w:eastAsia="bg-BG"/>
            </w:rPr>
          </w:pPr>
          <w:hyperlink w:anchor="_Toc18446561" w:history="1">
            <w:r w:rsidR="008E6E1A" w:rsidRPr="00242AC7">
              <w:rPr>
                <w:rStyle w:val="Hyperlink"/>
                <w:noProof/>
                <w:lang w:bidi="en-US"/>
              </w:rPr>
              <w:t>4.</w:t>
            </w:r>
            <w:r w:rsidR="008E6E1A">
              <w:rPr>
                <w:rFonts w:eastAsiaTheme="minorEastAsia"/>
                <w:noProof/>
                <w:lang w:val="bg-BG" w:eastAsia="bg-BG"/>
              </w:rPr>
              <w:tab/>
            </w:r>
            <w:r w:rsidR="008E6E1A" w:rsidRPr="00242AC7">
              <w:rPr>
                <w:rStyle w:val="Hyperlink"/>
                <w:noProof/>
                <w:lang w:bidi="en-US"/>
              </w:rPr>
              <w:t>Bulgarian policy frameworks addressing vulnerability</w:t>
            </w:r>
            <w:r w:rsidR="008E6E1A">
              <w:rPr>
                <w:noProof/>
                <w:webHidden/>
              </w:rPr>
              <w:tab/>
            </w:r>
            <w:r w:rsidR="008E6E1A">
              <w:rPr>
                <w:noProof/>
                <w:webHidden/>
              </w:rPr>
              <w:fldChar w:fldCharType="begin"/>
            </w:r>
            <w:r w:rsidR="008E6E1A">
              <w:rPr>
                <w:noProof/>
                <w:webHidden/>
              </w:rPr>
              <w:instrText xml:space="preserve"> PAGEREF _Toc18446561 \h </w:instrText>
            </w:r>
            <w:r w:rsidR="008E6E1A">
              <w:rPr>
                <w:noProof/>
                <w:webHidden/>
              </w:rPr>
            </w:r>
            <w:r w:rsidR="008E6E1A">
              <w:rPr>
                <w:noProof/>
                <w:webHidden/>
              </w:rPr>
              <w:fldChar w:fldCharType="separate"/>
            </w:r>
            <w:r w:rsidR="008E6E1A">
              <w:rPr>
                <w:noProof/>
                <w:webHidden/>
              </w:rPr>
              <w:t>21</w:t>
            </w:r>
            <w:r w:rsidR="008E6E1A">
              <w:rPr>
                <w:noProof/>
                <w:webHidden/>
              </w:rPr>
              <w:fldChar w:fldCharType="end"/>
            </w:r>
          </w:hyperlink>
        </w:p>
        <w:p w14:paraId="50BBE1BC" w14:textId="77777777" w:rsidR="008E6E1A" w:rsidRDefault="008F4830">
          <w:pPr>
            <w:pStyle w:val="TOC1"/>
            <w:rPr>
              <w:rFonts w:eastAsiaTheme="minorEastAsia"/>
              <w:noProof/>
              <w:lang w:val="bg-BG" w:eastAsia="bg-BG"/>
            </w:rPr>
          </w:pPr>
          <w:hyperlink w:anchor="_Toc18446562" w:history="1">
            <w:r w:rsidR="008E6E1A" w:rsidRPr="00242AC7">
              <w:rPr>
                <w:rStyle w:val="Hyperlink"/>
                <w:noProof/>
                <w:lang w:bidi="en-US"/>
              </w:rPr>
              <w:t>5.</w:t>
            </w:r>
            <w:r w:rsidR="008E6E1A">
              <w:rPr>
                <w:rFonts w:eastAsiaTheme="minorEastAsia"/>
                <w:noProof/>
                <w:lang w:val="bg-BG" w:eastAsia="bg-BG"/>
              </w:rPr>
              <w:tab/>
            </w:r>
            <w:r w:rsidR="008E6E1A" w:rsidRPr="00242AC7">
              <w:rPr>
                <w:rStyle w:val="Hyperlink"/>
                <w:noProof/>
                <w:lang w:bidi="en-US"/>
              </w:rPr>
              <w:t>Summary table: legal and policy frameworks (Annex 1)</w:t>
            </w:r>
            <w:r w:rsidR="008E6E1A">
              <w:rPr>
                <w:noProof/>
                <w:webHidden/>
              </w:rPr>
              <w:tab/>
            </w:r>
            <w:r w:rsidR="008E6E1A">
              <w:rPr>
                <w:noProof/>
                <w:webHidden/>
              </w:rPr>
              <w:fldChar w:fldCharType="begin"/>
            </w:r>
            <w:r w:rsidR="008E6E1A">
              <w:rPr>
                <w:noProof/>
                <w:webHidden/>
              </w:rPr>
              <w:instrText xml:space="preserve"> PAGEREF _Toc18446562 \h </w:instrText>
            </w:r>
            <w:r w:rsidR="008E6E1A">
              <w:rPr>
                <w:noProof/>
                <w:webHidden/>
              </w:rPr>
            </w:r>
            <w:r w:rsidR="008E6E1A">
              <w:rPr>
                <w:noProof/>
                <w:webHidden/>
              </w:rPr>
              <w:fldChar w:fldCharType="separate"/>
            </w:r>
            <w:r w:rsidR="008E6E1A">
              <w:rPr>
                <w:noProof/>
                <w:webHidden/>
              </w:rPr>
              <w:t>38</w:t>
            </w:r>
            <w:r w:rsidR="008E6E1A">
              <w:rPr>
                <w:noProof/>
                <w:webHidden/>
              </w:rPr>
              <w:fldChar w:fldCharType="end"/>
            </w:r>
          </w:hyperlink>
        </w:p>
        <w:p w14:paraId="332A6325" w14:textId="6E65CFC5" w:rsidR="008F1A54" w:rsidRPr="00A1666C" w:rsidRDefault="008F1A54" w:rsidP="0032208C">
          <w:r w:rsidRPr="00A1666C">
            <w:rPr>
              <w:b/>
              <w:bCs/>
              <w:noProof/>
            </w:rPr>
            <w:fldChar w:fldCharType="end"/>
          </w:r>
        </w:p>
      </w:sdtContent>
    </w:sdt>
    <w:p w14:paraId="27273372" w14:textId="77777777" w:rsidR="003561FC" w:rsidRPr="00A1666C" w:rsidRDefault="003561FC" w:rsidP="0032208C"/>
    <w:p w14:paraId="6E69BDFA" w14:textId="77777777" w:rsidR="003561FC" w:rsidRPr="00A1666C" w:rsidRDefault="003561FC" w:rsidP="0032208C"/>
    <w:p w14:paraId="265643F0" w14:textId="77777777" w:rsidR="003561FC" w:rsidRPr="00A1666C" w:rsidRDefault="003561FC" w:rsidP="0032208C"/>
    <w:p w14:paraId="0B42C7FA" w14:textId="77777777" w:rsidR="003561FC" w:rsidRPr="00A1666C" w:rsidRDefault="003561FC" w:rsidP="0032208C"/>
    <w:p w14:paraId="5E06F343" w14:textId="77777777" w:rsidR="003561FC" w:rsidRPr="00A1666C" w:rsidRDefault="003561FC" w:rsidP="0032208C"/>
    <w:p w14:paraId="19977831" w14:textId="77777777" w:rsidR="003561FC" w:rsidRPr="00A1666C" w:rsidRDefault="003561FC" w:rsidP="0032208C"/>
    <w:p w14:paraId="4F1E7DC1" w14:textId="77777777" w:rsidR="003561FC" w:rsidRPr="00A1666C" w:rsidRDefault="003561FC" w:rsidP="0032208C"/>
    <w:p w14:paraId="41868E59" w14:textId="468DA40C" w:rsidR="003561FC" w:rsidRPr="00A1666C" w:rsidRDefault="00297134" w:rsidP="0032208C">
      <w:pPr>
        <w:tabs>
          <w:tab w:val="left" w:pos="6901"/>
        </w:tabs>
      </w:pPr>
      <w:r w:rsidRPr="00A1666C">
        <w:tab/>
      </w:r>
    </w:p>
    <w:p w14:paraId="7710B4AF" w14:textId="77777777" w:rsidR="003561FC" w:rsidRPr="00A1666C" w:rsidRDefault="003561FC" w:rsidP="0032208C"/>
    <w:p w14:paraId="6C078CC7" w14:textId="77777777" w:rsidR="003561FC" w:rsidRPr="00A1666C" w:rsidRDefault="003561FC" w:rsidP="0032208C"/>
    <w:p w14:paraId="6ED2CBE5" w14:textId="77777777" w:rsidR="003561FC" w:rsidRPr="00A1666C" w:rsidRDefault="003561FC" w:rsidP="0032208C"/>
    <w:p w14:paraId="01379BD6" w14:textId="77777777" w:rsidR="002951FA" w:rsidRPr="00A1666C" w:rsidRDefault="002951FA" w:rsidP="0032208C">
      <w:pPr>
        <w:spacing w:after="200" w:line="276" w:lineRule="auto"/>
        <w:rPr>
          <w:b/>
          <w:sz w:val="32"/>
          <w:szCs w:val="32"/>
          <w:lang w:bidi="en-US"/>
        </w:rPr>
      </w:pPr>
      <w:r w:rsidRPr="00A1666C">
        <w:br w:type="page"/>
      </w:r>
    </w:p>
    <w:p w14:paraId="4AD86F94" w14:textId="2D637D29" w:rsidR="003873C3" w:rsidRPr="00A1666C" w:rsidRDefault="00A14C48" w:rsidP="008E576F">
      <w:pPr>
        <w:pStyle w:val="FRAHeading1"/>
        <w:numPr>
          <w:ilvl w:val="0"/>
          <w:numId w:val="5"/>
        </w:numPr>
        <w:jc w:val="both"/>
      </w:pPr>
      <w:bookmarkStart w:id="4" w:name="_Toc18446558"/>
      <w:r w:rsidRPr="00A1666C">
        <w:lastRenderedPageBreak/>
        <w:t>Overview of vulnerable groups</w:t>
      </w:r>
      <w:bookmarkEnd w:id="4"/>
    </w:p>
    <w:p w14:paraId="0666BD9E" w14:textId="10901CFF" w:rsidR="008869E5" w:rsidRDefault="00413573" w:rsidP="0032208C">
      <w:r w:rsidRPr="00A1666C">
        <w:t xml:space="preserve">This section </w:t>
      </w:r>
      <w:r w:rsidR="00A14C48" w:rsidRPr="00A1666C">
        <w:t>will provide an overview of the vulnerable groups to be analysed in the report. It will also include an overview of the operational criteria applied for defining the concept of ‘vulnerability’.</w:t>
      </w:r>
    </w:p>
    <w:p w14:paraId="6AF4D187" w14:textId="77777777" w:rsidR="007025A5" w:rsidRDefault="007025A5" w:rsidP="0032208C">
      <w:pPr>
        <w:pStyle w:val="FRABodyText"/>
      </w:pPr>
    </w:p>
    <w:p w14:paraId="3D5FC8F6" w14:textId="17649F99" w:rsidR="00661867" w:rsidRDefault="002D7425" w:rsidP="0032208C">
      <w:pPr>
        <w:pStyle w:val="FRABodyText"/>
        <w:rPr>
          <w:lang w:val="en-US"/>
        </w:rPr>
      </w:pPr>
      <w:r>
        <w:t>Bulgarian legal framework does not have a specific definition of ‘vulnerable groups’ or ‘vulnerability’</w:t>
      </w:r>
      <w:r w:rsidR="005547B0">
        <w:t>, but rather scattered elements throughout acts</w:t>
      </w:r>
      <w:r w:rsidR="005826D3">
        <w:t xml:space="preserve"> in</w:t>
      </w:r>
      <w:r w:rsidR="005547B0">
        <w:t xml:space="preserve"> different areas</w:t>
      </w:r>
      <w:r>
        <w:t xml:space="preserve">. </w:t>
      </w:r>
      <w:r w:rsidR="005547B0">
        <w:t>T</w:t>
      </w:r>
      <w:r>
        <w:t>he</w:t>
      </w:r>
      <w:r w:rsidR="00661867">
        <w:t xml:space="preserve"> </w:t>
      </w:r>
      <w:r>
        <w:t xml:space="preserve">Pre-School and School Education Act </w:t>
      </w:r>
      <w:r w:rsidRPr="002D7425">
        <w:rPr>
          <w:i/>
        </w:rPr>
        <w:t>(</w:t>
      </w:r>
      <w:r w:rsidRPr="002D7425">
        <w:rPr>
          <w:i/>
          <w:lang w:val="bg-BG"/>
        </w:rPr>
        <w:t>Закон за предучилищното и училищното образование</w:t>
      </w:r>
      <w:r w:rsidRPr="002D7425">
        <w:rPr>
          <w:i/>
        </w:rPr>
        <w:t>)</w:t>
      </w:r>
      <w:r w:rsidR="00661867" w:rsidRPr="007025A5">
        <w:rPr>
          <w:rStyle w:val="FootnoteReference"/>
          <w:bCs/>
          <w:sz w:val="24"/>
          <w:szCs w:val="24"/>
          <w:lang w:val="en-US"/>
        </w:rPr>
        <w:footnoteReference w:id="2"/>
      </w:r>
      <w:r w:rsidR="00A97ACF">
        <w:rPr>
          <w:i/>
        </w:rPr>
        <w:t xml:space="preserve"> </w:t>
      </w:r>
      <w:r w:rsidR="00A97ACF">
        <w:rPr>
          <w:iCs/>
        </w:rPr>
        <w:t xml:space="preserve">does use the notion of ‘vulnerable groups’ </w:t>
      </w:r>
      <w:r w:rsidR="00A97ACF" w:rsidRPr="00A97ACF">
        <w:rPr>
          <w:i/>
        </w:rPr>
        <w:t>(</w:t>
      </w:r>
      <w:r w:rsidR="00A97ACF" w:rsidRPr="00A97ACF">
        <w:rPr>
          <w:i/>
          <w:lang w:val="bg-BG"/>
        </w:rPr>
        <w:t>уязвими групи</w:t>
      </w:r>
      <w:r w:rsidR="00A97ACF" w:rsidRPr="00A97ACF">
        <w:rPr>
          <w:i/>
        </w:rPr>
        <w:t>)</w:t>
      </w:r>
      <w:r w:rsidR="00A97ACF">
        <w:rPr>
          <w:iCs/>
          <w:lang w:val="bg-BG"/>
        </w:rPr>
        <w:t xml:space="preserve"> </w:t>
      </w:r>
      <w:r w:rsidR="00A97ACF">
        <w:rPr>
          <w:iCs/>
          <w:lang w:val="en-US"/>
        </w:rPr>
        <w:t>without defining it</w:t>
      </w:r>
      <w:r w:rsidR="005547B0">
        <w:rPr>
          <w:iCs/>
          <w:lang w:val="en-US"/>
        </w:rPr>
        <w:t>, postulating</w:t>
      </w:r>
      <w:r w:rsidR="00A97ACF">
        <w:rPr>
          <w:iCs/>
          <w:lang w:val="en-US"/>
        </w:rPr>
        <w:t xml:space="preserve"> an obligation for </w:t>
      </w:r>
      <w:r w:rsidR="00661867">
        <w:t>each school to elaborate a program</w:t>
      </w:r>
      <w:r w:rsidR="00A97ACF">
        <w:t>me</w:t>
      </w:r>
      <w:r w:rsidR="00661867">
        <w:t xml:space="preserve"> </w:t>
      </w:r>
      <w:r w:rsidR="00625CF6">
        <w:t>for</w:t>
      </w:r>
      <w:r w:rsidR="00661867">
        <w:t xml:space="preserve"> equal opportunities</w:t>
      </w:r>
      <w:r w:rsidR="005826D3">
        <w:t xml:space="preserve"> and integration</w:t>
      </w:r>
      <w:r w:rsidR="00661867">
        <w:t xml:space="preserve"> </w:t>
      </w:r>
      <w:r w:rsidR="00625CF6">
        <w:t>of such</w:t>
      </w:r>
      <w:r w:rsidR="00661867">
        <w:t xml:space="preserve"> groups, </w:t>
      </w:r>
      <w:r w:rsidR="00A97ACF">
        <w:t>and additional funding for</w:t>
      </w:r>
      <w:r w:rsidR="00625CF6">
        <w:t xml:space="preserve"> working with </w:t>
      </w:r>
      <w:r w:rsidR="00174498">
        <w:t>those</w:t>
      </w:r>
      <w:r w:rsidR="00661867">
        <w:t>.</w:t>
      </w:r>
      <w:r w:rsidR="00195F65">
        <w:rPr>
          <w:lang w:val="bg-BG"/>
        </w:rPr>
        <w:t xml:space="preserve"> </w:t>
      </w:r>
      <w:r w:rsidR="00B4633E">
        <w:rPr>
          <w:lang w:val="en-US"/>
        </w:rPr>
        <w:t>The Asylum and Refugees Act</w:t>
      </w:r>
      <w:r w:rsidR="00B4633E">
        <w:rPr>
          <w:lang w:val="bg-BG"/>
        </w:rPr>
        <w:t xml:space="preserve"> </w:t>
      </w:r>
      <w:r w:rsidR="00B4633E" w:rsidRPr="006E081A">
        <w:rPr>
          <w:i/>
          <w:lang w:val="bg-BG"/>
        </w:rPr>
        <w:t>(Закон за убежището и бежанците)</w:t>
      </w:r>
      <w:r w:rsidR="00B4633E" w:rsidRPr="00B4633E">
        <w:rPr>
          <w:rStyle w:val="FootnoteReference"/>
          <w:lang w:val="bg-BG"/>
        </w:rPr>
        <w:footnoteReference w:id="3"/>
      </w:r>
      <w:r w:rsidR="00872453">
        <w:rPr>
          <w:lang w:val="bg-BG"/>
        </w:rPr>
        <w:t xml:space="preserve"> </w:t>
      </w:r>
      <w:r w:rsidR="00872453">
        <w:rPr>
          <w:lang w:val="en-US"/>
        </w:rPr>
        <w:t xml:space="preserve">offers </w:t>
      </w:r>
      <w:r w:rsidR="009F5A15">
        <w:rPr>
          <w:lang w:val="en-US"/>
        </w:rPr>
        <w:t>a list of vulnerable groups with regard to international protection</w:t>
      </w:r>
      <w:r w:rsidR="00F577B5">
        <w:rPr>
          <w:lang w:val="en-US"/>
        </w:rPr>
        <w:t xml:space="preserve"> under, among others, the 1951 Refugee Convention and </w:t>
      </w:r>
      <w:r w:rsidR="00F577B5" w:rsidRPr="00F577B5">
        <w:rPr>
          <w:lang w:val="en-US"/>
        </w:rPr>
        <w:t>Directive 2011/95/EU</w:t>
      </w:r>
      <w:r w:rsidR="00F577B5">
        <w:rPr>
          <w:lang w:val="en-US"/>
        </w:rPr>
        <w:t xml:space="preserve"> (the Qualification Directive)</w:t>
      </w:r>
      <w:r w:rsidR="009F5A15">
        <w:rPr>
          <w:lang w:val="en-US"/>
        </w:rPr>
        <w:t xml:space="preserve">: </w:t>
      </w:r>
      <w:r w:rsidR="00C24C40">
        <w:rPr>
          <w:lang w:val="en-US"/>
        </w:rPr>
        <w:t xml:space="preserve">(unaccompanied) </w:t>
      </w:r>
      <w:r w:rsidR="009513F8">
        <w:rPr>
          <w:lang w:val="en-US"/>
        </w:rPr>
        <w:t>children</w:t>
      </w:r>
      <w:r w:rsidR="0027056F">
        <w:rPr>
          <w:lang w:val="en-US"/>
        </w:rPr>
        <w:t xml:space="preserve">, persons with disabilities, the elderly, pregnant women, single parents </w:t>
      </w:r>
      <w:r w:rsidR="008F1C81">
        <w:rPr>
          <w:lang w:val="en-US"/>
        </w:rPr>
        <w:t xml:space="preserve">with children under 18 years of age, victims of human trafficking, </w:t>
      </w:r>
      <w:r w:rsidR="00561C1A">
        <w:rPr>
          <w:lang w:val="en-US"/>
        </w:rPr>
        <w:t xml:space="preserve">persons with severe health problems, persons with mental disorders and persons having suffered torture, rape or other severe forms </w:t>
      </w:r>
      <w:r w:rsidR="00890F18">
        <w:rPr>
          <w:lang w:val="en-US"/>
        </w:rPr>
        <w:t>of mental, physical or sexual violence.</w:t>
      </w:r>
      <w:r w:rsidR="0063626F">
        <w:rPr>
          <w:lang w:val="en-US"/>
        </w:rPr>
        <w:t xml:space="preserve"> </w:t>
      </w:r>
      <w:r w:rsidR="00195F65">
        <w:rPr>
          <w:lang w:val="en-US"/>
        </w:rPr>
        <w:t xml:space="preserve">A </w:t>
      </w:r>
      <w:r w:rsidR="008116B6">
        <w:rPr>
          <w:lang w:val="en-US"/>
        </w:rPr>
        <w:t>relatively</w:t>
      </w:r>
      <w:r w:rsidR="00195F65">
        <w:rPr>
          <w:lang w:val="en-US"/>
        </w:rPr>
        <w:t xml:space="preserve"> developed notion of vulnerable groups</w:t>
      </w:r>
      <w:r w:rsidR="004454E1">
        <w:rPr>
          <w:lang w:val="en-US"/>
        </w:rPr>
        <w:t>,</w:t>
      </w:r>
      <w:r w:rsidR="00195F65">
        <w:rPr>
          <w:lang w:val="en-US"/>
        </w:rPr>
        <w:t xml:space="preserve"> with regard to health</w:t>
      </w:r>
      <w:r w:rsidR="008116B6">
        <w:rPr>
          <w:lang w:val="en-US"/>
        </w:rPr>
        <w:t xml:space="preserve"> and beyond</w:t>
      </w:r>
      <w:r w:rsidR="004454E1">
        <w:rPr>
          <w:lang w:val="en-US"/>
        </w:rPr>
        <w:t>,</w:t>
      </w:r>
      <w:r w:rsidR="00195F65">
        <w:rPr>
          <w:lang w:val="en-US"/>
        </w:rPr>
        <w:t xml:space="preserve"> is offered </w:t>
      </w:r>
      <w:r w:rsidR="00A3598F">
        <w:rPr>
          <w:lang w:val="en-US"/>
        </w:rPr>
        <w:t xml:space="preserve">by the National Health Strategy 2020 </w:t>
      </w:r>
      <w:r w:rsidR="00A3598F" w:rsidRPr="00A3598F">
        <w:rPr>
          <w:i/>
          <w:lang w:val="en-US"/>
        </w:rPr>
        <w:t>(</w:t>
      </w:r>
      <w:r w:rsidR="00A3598F" w:rsidRPr="00A3598F">
        <w:rPr>
          <w:i/>
          <w:lang w:val="bg-BG"/>
        </w:rPr>
        <w:t>Национална здравна стратегия 2020</w:t>
      </w:r>
      <w:r w:rsidR="00A3598F" w:rsidRPr="00A3598F">
        <w:rPr>
          <w:i/>
          <w:lang w:val="en-US"/>
        </w:rPr>
        <w:t>)</w:t>
      </w:r>
      <w:r w:rsidR="00A3598F">
        <w:rPr>
          <w:lang w:val="bg-BG"/>
        </w:rPr>
        <w:t>.</w:t>
      </w:r>
      <w:r w:rsidR="00A3598F">
        <w:rPr>
          <w:rStyle w:val="FootnoteReference"/>
          <w:lang w:val="bg-BG"/>
        </w:rPr>
        <w:footnoteReference w:id="4"/>
      </w:r>
      <w:r w:rsidR="00A3598F">
        <w:rPr>
          <w:lang w:val="bg-BG"/>
        </w:rPr>
        <w:t xml:space="preserve"> </w:t>
      </w:r>
      <w:r w:rsidR="004454E1">
        <w:rPr>
          <w:lang w:val="en-US"/>
        </w:rPr>
        <w:t>It</w:t>
      </w:r>
      <w:r w:rsidR="00381D83">
        <w:rPr>
          <w:lang w:val="en-US"/>
        </w:rPr>
        <w:t xml:space="preserve"> determines as vulnerable groups in terms of health the illiterate, the homeless, the minorities, the long-term or permanently unemployed in social isolation and economic dependence on the state, the refugees and asylum seekers, the victims of human trafficking, domestic and other violence, the families of people </w:t>
      </w:r>
      <w:r w:rsidR="008116B6">
        <w:rPr>
          <w:lang w:val="en-US"/>
        </w:rPr>
        <w:t>suffering from</w:t>
      </w:r>
      <w:r w:rsidR="00381D83">
        <w:rPr>
          <w:lang w:val="en-US"/>
        </w:rPr>
        <w:t xml:space="preserve"> alcohol and other abuse, the people with severe mental and </w:t>
      </w:r>
      <w:r w:rsidR="009513F8">
        <w:rPr>
          <w:lang w:val="en-US"/>
        </w:rPr>
        <w:t>physical</w:t>
      </w:r>
      <w:r w:rsidR="00381D83">
        <w:rPr>
          <w:lang w:val="en-US"/>
        </w:rPr>
        <w:t xml:space="preserve"> disabilities. Children within those groups are in particular risk.</w:t>
      </w:r>
      <w:r w:rsidR="0063626F">
        <w:rPr>
          <w:lang w:val="en-US"/>
        </w:rPr>
        <w:t xml:space="preserve"> </w:t>
      </w:r>
      <w:r w:rsidR="00DB2627">
        <w:rPr>
          <w:lang w:val="en-US"/>
        </w:rPr>
        <w:t>Thus, the few definitions, or rather scopings of vulnerability throughout Bulgarian legal and policy frameworks define as factors personal situation (children, persons with disabilities/health problems, single parents, minorities, etc.) as well as a number of social determinants (illiteracy, homelessness, victimisation, unemployment, social exclusion, etc.).</w:t>
      </w:r>
    </w:p>
    <w:p w14:paraId="490E5D65" w14:textId="6316459E" w:rsidR="00381D83" w:rsidRDefault="00381D83" w:rsidP="0085094A">
      <w:pPr>
        <w:pStyle w:val="FRABodyText"/>
      </w:pPr>
    </w:p>
    <w:p w14:paraId="45522116" w14:textId="77777777" w:rsidR="00CD7B2E" w:rsidRDefault="00F74A86" w:rsidP="0085094A">
      <w:pPr>
        <w:pStyle w:val="FRABodyText"/>
      </w:pPr>
      <w:r>
        <w:t>The present report is concerned with the following groups</w:t>
      </w:r>
      <w:r w:rsidR="0085094A" w:rsidRPr="009C29B6">
        <w:t xml:space="preserve"> vulnerable to poverty, social exclusion, exploitation and violation of fundamental rights in Bulgaria</w:t>
      </w:r>
      <w:r>
        <w:t>: Roma, children at risk, persons with disabilities, very young persons, older persons, people in precarious housing, third-country nationals, emigrant household members, victims of domestic violence, LGBTQ+ persons, energy-poor persons and undeclared workers, and the overlaps among them, resulting in persons’ multiple vulnerabilities</w:t>
      </w:r>
      <w:r w:rsidR="00B15C3D">
        <w:t xml:space="preserve"> and accounting for within-group differentiations</w:t>
      </w:r>
      <w:r>
        <w:t xml:space="preserve">. </w:t>
      </w:r>
    </w:p>
    <w:p w14:paraId="05AE880E" w14:textId="77777777" w:rsidR="00CD7B2E" w:rsidRDefault="00CD7B2E" w:rsidP="0085094A">
      <w:pPr>
        <w:pStyle w:val="FRABodyText"/>
      </w:pPr>
    </w:p>
    <w:p w14:paraId="67896905" w14:textId="77777777" w:rsidR="00CD7B2E" w:rsidRPr="00534AD3" w:rsidRDefault="00CD7B2E" w:rsidP="00CD7B2E">
      <w:pPr>
        <w:pStyle w:val="FRABodyText"/>
        <w:rPr>
          <w:lang w:val="en-US"/>
        </w:rPr>
      </w:pPr>
      <w:r>
        <w:rPr>
          <w:lang w:val="en-US"/>
        </w:rPr>
        <w:t xml:space="preserve">The groups have been chosen based upon careful desk research, as well as opinions by experts, shared at various events. Specialists from relevant institutions have elaborated on the vulnerability of the poor, especially the energy poor and the water poor, the children from vulnerable populations as a horizontal group of extreme dynamics, the persons with disabilities and the Roma, as well as of the people who live alone and cannot service their needs and the people with mental disabilities. People from ethnically segregated and closed communities (like, potentially, the Roma and the third country nationals) have been put among the ‘traditional’ vulnerable groups. People from remote areas (like, potentially, younger and older persons) have been put among the traditional groups and/or the ones difficult to reach by authorities/services, </w:t>
      </w:r>
      <w:r>
        <w:rPr>
          <w:lang w:val="en-US"/>
        </w:rPr>
        <w:lastRenderedPageBreak/>
        <w:t xml:space="preserve">for example with regard to access to education. Children (at risk) are said to suffer both from lack of self-declaration by parents (e.g. in the case of children with psycho-social difficulties) and from newly established factors like parents’ emigration (so called ‘Skype parenting’) or mobility for work, making the latter also difficult to reach. No data is said to exist about older people living alone, especially if they are above the threshold for social support, neither is there a definition, and hence consistent data collection, on the energy poor. Moreover, experts from NGOs have identified among less known and research vulnerable groups Roma women and children, refugees and migrants, victims of domestic violence, the homeless and the undeclared workers, children with disabilities in families, people with dependencies, people with illnesses of social significance, like the HIV positive persons. The selection in the present report steps upon the views of institutional and NGO experts, specifying vulnerable children as children at risk and adding a special emphasis on younger and older persons, as well as the newly emerging vulnerabilities of the LGBTQ+ community. </w:t>
      </w:r>
    </w:p>
    <w:p w14:paraId="13A62295" w14:textId="77777777" w:rsidR="00CD7B2E" w:rsidRDefault="00CD7B2E" w:rsidP="0085094A">
      <w:pPr>
        <w:pStyle w:val="FRABodyText"/>
      </w:pPr>
    </w:p>
    <w:p w14:paraId="21035258" w14:textId="48CFB0F6" w:rsidR="0085094A" w:rsidRPr="007F138A" w:rsidRDefault="00452C1D" w:rsidP="0085094A">
      <w:pPr>
        <w:pStyle w:val="FRABodyText"/>
        <w:rPr>
          <w:lang w:val="en-US"/>
        </w:rPr>
      </w:pPr>
      <w:r>
        <w:t>Almost none of those are identified as ‘vulnerable’ or even defined comprehensively in national legislation</w:t>
      </w:r>
      <w:r w:rsidR="00033731">
        <w:t xml:space="preserve"> – as will be seen below</w:t>
      </w:r>
      <w:r w:rsidR="00247AF3">
        <w:t>, legal definitions are scarce and often define similar terms, or elements of the groups’ vulnerability.</w:t>
      </w:r>
      <w:r w:rsidR="00B0105D">
        <w:rPr>
          <w:lang w:val="bg-BG"/>
        </w:rPr>
        <w:t xml:space="preserve"> </w:t>
      </w:r>
      <w:r w:rsidR="00247AF3">
        <w:rPr>
          <w:lang w:val="en-US"/>
        </w:rPr>
        <w:t>F</w:t>
      </w:r>
      <w:r w:rsidR="0063626F">
        <w:t>ew explicit references are made to international legal frameworks</w:t>
      </w:r>
      <w:r w:rsidR="00247AF3">
        <w:t xml:space="preserve"> or relevant EU legislation, although many of the domestic acts actually transpose/implement them</w:t>
      </w:r>
      <w:r>
        <w:t xml:space="preserve">. </w:t>
      </w:r>
      <w:r w:rsidR="00CA67E0">
        <w:t xml:space="preserve">Common risks the groups face with regard to enjoyment of their fundamental rights are poverty and social exclusion, and related poor access to housing, employment, education and training. </w:t>
      </w:r>
      <w:r w:rsidR="00AF685E">
        <w:rPr>
          <w:lang w:val="en-US"/>
        </w:rPr>
        <w:t>Violence and/or exploitation is a particular factor for a number of the groups, like the Roma, the children, the people with disabilities, the undeclared workers and the victims of domestic violence</w:t>
      </w:r>
      <w:r w:rsidR="00D4624B">
        <w:rPr>
          <w:lang w:val="en-US"/>
        </w:rPr>
        <w:t>, the LGBTQ+ group</w:t>
      </w:r>
      <w:r w:rsidR="00AF685E">
        <w:rPr>
          <w:lang w:val="en-US"/>
        </w:rPr>
        <w:t>.</w:t>
      </w:r>
      <w:r w:rsidR="00D4624B">
        <w:rPr>
          <w:lang w:val="en-US"/>
        </w:rPr>
        <w:t xml:space="preserve"> </w:t>
      </w:r>
      <w:r w:rsidR="0021566F">
        <w:rPr>
          <w:lang w:val="en-US"/>
        </w:rPr>
        <w:t>Negative stereotyping, discrimination and negative cultural practices also affect a number of those populations.</w:t>
      </w:r>
      <w:r w:rsidR="00AF685E">
        <w:rPr>
          <w:lang w:val="en-US"/>
        </w:rPr>
        <w:t xml:space="preserve"> </w:t>
      </w:r>
      <w:r w:rsidR="00B15C3D">
        <w:rPr>
          <w:lang w:val="en-US"/>
        </w:rPr>
        <w:t>N</w:t>
      </w:r>
      <w:r w:rsidR="007F138A">
        <w:rPr>
          <w:lang w:val="en-US"/>
        </w:rPr>
        <w:t>ational policy frameworks</w:t>
      </w:r>
      <w:r w:rsidR="00247AF3">
        <w:rPr>
          <w:lang w:val="en-US"/>
        </w:rPr>
        <w:t>, presumably quite influenced by international and EU policy agendas,</w:t>
      </w:r>
      <w:r w:rsidR="007F138A">
        <w:rPr>
          <w:lang w:val="en-US"/>
        </w:rPr>
        <w:t xml:space="preserve"> take a significantly deeper </w:t>
      </w:r>
      <w:r w:rsidR="000D230F">
        <w:rPr>
          <w:lang w:val="en-US"/>
        </w:rPr>
        <w:t>look at</w:t>
      </w:r>
      <w:r w:rsidR="007F138A">
        <w:rPr>
          <w:lang w:val="en-US"/>
        </w:rPr>
        <w:t xml:space="preserve"> those groups, listing many </w:t>
      </w:r>
      <w:r w:rsidR="00CE55E8">
        <w:rPr>
          <w:lang w:val="en-US"/>
        </w:rPr>
        <w:t xml:space="preserve">specific </w:t>
      </w:r>
      <w:r w:rsidR="007F138A">
        <w:rPr>
          <w:lang w:val="en-US"/>
        </w:rPr>
        <w:t>vulnerability factors</w:t>
      </w:r>
      <w:r w:rsidR="000D230F">
        <w:rPr>
          <w:lang w:val="en-US"/>
        </w:rPr>
        <w:t xml:space="preserve"> and their intersections, as well as mainstream </w:t>
      </w:r>
      <w:r w:rsidR="00CE55E8">
        <w:rPr>
          <w:lang w:val="en-US"/>
        </w:rPr>
        <w:t xml:space="preserve">factors </w:t>
      </w:r>
      <w:r w:rsidR="00B15C3D">
        <w:rPr>
          <w:lang w:val="en-US"/>
        </w:rPr>
        <w:t>affecting</w:t>
      </w:r>
      <w:r w:rsidR="00CE55E8">
        <w:rPr>
          <w:lang w:val="en-US"/>
        </w:rPr>
        <w:t xml:space="preserve"> vulnerable individuals. International and EU policy frameworks are usually expressly mentioned and operationali</w:t>
      </w:r>
      <w:r w:rsidR="00E27899">
        <w:rPr>
          <w:lang w:val="en-US"/>
        </w:rPr>
        <w:t>s</w:t>
      </w:r>
      <w:r w:rsidR="00CE55E8">
        <w:rPr>
          <w:lang w:val="en-US"/>
        </w:rPr>
        <w:t xml:space="preserve">ation is done through </w:t>
      </w:r>
      <w:r w:rsidR="00E27899">
        <w:rPr>
          <w:lang w:val="en-US"/>
        </w:rPr>
        <w:t xml:space="preserve">(bi-)annual </w:t>
      </w:r>
      <w:r w:rsidR="00CE55E8">
        <w:rPr>
          <w:lang w:val="en-US"/>
        </w:rPr>
        <w:t>action plans and programmes.</w:t>
      </w:r>
      <w:r w:rsidR="007F138A">
        <w:rPr>
          <w:lang w:val="en-US"/>
        </w:rPr>
        <w:t xml:space="preserve"> </w:t>
      </w:r>
      <w:r w:rsidR="00CE55E8">
        <w:rPr>
          <w:lang w:val="en-US"/>
        </w:rPr>
        <w:t xml:space="preserve">Financing is usually done via the state budget, operational programmes and other project based EU funding. </w:t>
      </w:r>
    </w:p>
    <w:p w14:paraId="131978B7" w14:textId="17A61CA7" w:rsidR="00413573" w:rsidRPr="00A1666C" w:rsidRDefault="002B7F26" w:rsidP="008E576F">
      <w:pPr>
        <w:pStyle w:val="FRAHeading1"/>
        <w:numPr>
          <w:ilvl w:val="0"/>
          <w:numId w:val="5"/>
        </w:numPr>
        <w:jc w:val="both"/>
      </w:pPr>
      <w:bookmarkStart w:id="5" w:name="_Toc18446559"/>
      <w:r w:rsidRPr="00A1666C">
        <w:t>Summary of definitions</w:t>
      </w:r>
      <w:bookmarkEnd w:id="5"/>
    </w:p>
    <w:p w14:paraId="5338AF30" w14:textId="25C1D3A5" w:rsidR="00413573" w:rsidRDefault="002B7F26" w:rsidP="0032208C">
      <w:r w:rsidRPr="00A1666C">
        <w:t xml:space="preserve">This section will </w:t>
      </w:r>
      <w:r w:rsidR="000644A2" w:rsidRPr="00A1666C">
        <w:t>outline</w:t>
      </w:r>
      <w:r w:rsidRPr="00A1666C">
        <w:t xml:space="preserve"> the definitions used to define the groups in question (see section 1) in the primary and secondary legislation</w:t>
      </w:r>
      <w:r w:rsidR="000644A2" w:rsidRPr="00A1666C">
        <w:t>, as well as strategic and policy documents</w:t>
      </w:r>
      <w:r w:rsidRPr="00A1666C">
        <w:t xml:space="preserve"> reviewed below. </w:t>
      </w:r>
    </w:p>
    <w:p w14:paraId="17E11D1D" w14:textId="77777777" w:rsidR="00AD66E1" w:rsidRPr="00A1666C" w:rsidRDefault="00AD66E1" w:rsidP="0032208C"/>
    <w:p w14:paraId="2FC97808" w14:textId="390015FC" w:rsidR="00413573" w:rsidRPr="00A1666C" w:rsidRDefault="009B784F" w:rsidP="008E576F">
      <w:pPr>
        <w:numPr>
          <w:ilvl w:val="0"/>
          <w:numId w:val="3"/>
        </w:numPr>
        <w:spacing w:line="276" w:lineRule="auto"/>
      </w:pPr>
      <w:r>
        <w:rPr>
          <w:b/>
        </w:rPr>
        <w:t>Roma</w:t>
      </w:r>
    </w:p>
    <w:p w14:paraId="2A1B59F6" w14:textId="368EE57F" w:rsidR="00F80FA6" w:rsidRDefault="009B784F" w:rsidP="0032208C">
      <w:pPr>
        <w:pStyle w:val="FRABodyText"/>
        <w:rPr>
          <w:lang w:val="en-US"/>
        </w:rPr>
      </w:pPr>
      <w:r>
        <w:rPr>
          <w:lang w:val="en-US"/>
        </w:rPr>
        <w:t xml:space="preserve">Bulgarian </w:t>
      </w:r>
      <w:r w:rsidR="00F80FA6">
        <w:rPr>
          <w:lang w:val="en-US"/>
        </w:rPr>
        <w:t xml:space="preserve">legal </w:t>
      </w:r>
      <w:r>
        <w:rPr>
          <w:lang w:val="en-US"/>
        </w:rPr>
        <w:t>sources do not offer a definition for the Roma group.</w:t>
      </w:r>
      <w:r w:rsidR="00FA6305">
        <w:rPr>
          <w:lang w:val="en-US"/>
        </w:rPr>
        <w:t xml:space="preserve"> </w:t>
      </w:r>
      <w:r w:rsidR="00AB3033">
        <w:rPr>
          <w:lang w:val="en-US"/>
        </w:rPr>
        <w:t>The</w:t>
      </w:r>
      <w:r w:rsidR="00D4624B">
        <w:rPr>
          <w:lang w:val="en-US"/>
        </w:rPr>
        <w:t xml:space="preserve"> national Roma integration strategy</w:t>
      </w:r>
      <w:r w:rsidR="00AB3033" w:rsidRPr="00D4624B">
        <w:rPr>
          <w:rStyle w:val="FootnoteReference"/>
          <w:lang w:val="bg-BG"/>
        </w:rPr>
        <w:footnoteReference w:id="5"/>
      </w:r>
      <w:r w:rsidR="00AB3033">
        <w:rPr>
          <w:lang w:val="bg-BG"/>
        </w:rPr>
        <w:t xml:space="preserve"> </w:t>
      </w:r>
      <w:r w:rsidR="00E149A1">
        <w:rPr>
          <w:lang w:val="en-US"/>
        </w:rPr>
        <w:t xml:space="preserve">states </w:t>
      </w:r>
      <w:r w:rsidR="00E149A1">
        <w:t>‘</w:t>
      </w:r>
      <w:r w:rsidR="00E149A1" w:rsidRPr="00977B8C">
        <w:t>Roma</w:t>
      </w:r>
      <w:r w:rsidR="00E149A1">
        <w:t>’ is an umbrella term</w:t>
      </w:r>
      <w:r w:rsidR="00E149A1" w:rsidRPr="00977B8C">
        <w:t xml:space="preserve"> which includes both Bulgarian citizens in a vulnerable socio-economic condition who identify themselves as Roma, and citizens in a similar situation, defined by the </w:t>
      </w:r>
      <w:r w:rsidR="00E149A1">
        <w:t>surrounding population</w:t>
      </w:r>
      <w:r w:rsidR="00E149A1" w:rsidRPr="00977B8C">
        <w:t xml:space="preserve"> as Roma, regardless of their self-identification.</w:t>
      </w:r>
      <w:r w:rsidR="00D4624B">
        <w:t xml:space="preserve"> </w:t>
      </w:r>
      <w:r w:rsidR="00F80FA6">
        <w:rPr>
          <w:lang w:val="en-US"/>
        </w:rPr>
        <w:t>A very current policy definition by the Active Citizens Fund of the EEA Grants 2014-2021</w:t>
      </w:r>
      <w:r w:rsidR="00E149A1">
        <w:rPr>
          <w:lang w:val="en-US"/>
        </w:rPr>
        <w:t>,</w:t>
      </w:r>
      <w:r w:rsidR="00F80FA6">
        <w:rPr>
          <w:lang w:val="en-US"/>
        </w:rPr>
        <w:t xml:space="preserve"> </w:t>
      </w:r>
      <w:r w:rsidR="00E149A1">
        <w:rPr>
          <w:lang w:val="en-US"/>
        </w:rPr>
        <w:t>cites the Strategy and follows verbatim its definition.</w:t>
      </w:r>
      <w:r w:rsidR="00E149A1">
        <w:rPr>
          <w:rStyle w:val="FootnoteReference"/>
          <w:lang w:val="en-US"/>
        </w:rPr>
        <w:footnoteReference w:id="6"/>
      </w:r>
    </w:p>
    <w:p w14:paraId="4F621316" w14:textId="77777777" w:rsidR="00644C8A" w:rsidRPr="00A1666C" w:rsidRDefault="00644C8A" w:rsidP="0032208C">
      <w:pPr>
        <w:pStyle w:val="FRABodyText"/>
        <w:rPr>
          <w:lang w:val="en-US"/>
        </w:rPr>
      </w:pPr>
    </w:p>
    <w:p w14:paraId="4D43A28B" w14:textId="4487FFD7" w:rsidR="00413573" w:rsidRPr="00A1666C" w:rsidRDefault="00005E8E" w:rsidP="0032208C">
      <w:pPr>
        <w:pStyle w:val="FRABodyText"/>
      </w:pPr>
      <w:r>
        <w:lastRenderedPageBreak/>
        <w:t>Th</w:t>
      </w:r>
      <w:r w:rsidR="00673D85">
        <w:t>ese</w:t>
      </w:r>
      <w:r>
        <w:t xml:space="preserve"> definition</w:t>
      </w:r>
      <w:r w:rsidR="00673D85">
        <w:t>s</w:t>
      </w:r>
      <w:r>
        <w:t xml:space="preserve"> put as a leading criterion Roma’s vulnerable socio-economic position, supported by, alternatively, their self-identification or </w:t>
      </w:r>
      <w:r w:rsidR="00EA1FEC">
        <w:t xml:space="preserve">their identification as such by the surrounding population, regardless of their self-identification. </w:t>
      </w:r>
    </w:p>
    <w:p w14:paraId="34190F39" w14:textId="77777777" w:rsidR="00F26058" w:rsidRPr="00F106E0" w:rsidRDefault="00F26058" w:rsidP="0032208C">
      <w:pPr>
        <w:pStyle w:val="FRABodyText"/>
      </w:pPr>
    </w:p>
    <w:p w14:paraId="065D6A71" w14:textId="77777777" w:rsidR="00F106E0" w:rsidRPr="00F106E0" w:rsidRDefault="00F106E0" w:rsidP="008E576F">
      <w:pPr>
        <w:numPr>
          <w:ilvl w:val="0"/>
          <w:numId w:val="3"/>
        </w:numPr>
        <w:spacing w:line="276" w:lineRule="auto"/>
        <w:rPr>
          <w:b/>
        </w:rPr>
      </w:pPr>
      <w:r w:rsidRPr="00F106E0">
        <w:rPr>
          <w:b/>
        </w:rPr>
        <w:t>Children at Risk</w:t>
      </w:r>
    </w:p>
    <w:p w14:paraId="1D7E975D" w14:textId="711DAC0B" w:rsidR="00AF3369" w:rsidRPr="00DB1000" w:rsidRDefault="00EC0E89" w:rsidP="0032208C">
      <w:pPr>
        <w:pStyle w:val="FRABodyText"/>
        <w:rPr>
          <w:lang w:val="bg-BG"/>
        </w:rPr>
      </w:pPr>
      <w:r>
        <w:rPr>
          <w:lang w:val="en-US"/>
        </w:rPr>
        <w:t xml:space="preserve">Although these are not the only situations of risk from a practical standpoint, </w:t>
      </w:r>
      <w:r w:rsidR="00B7177D">
        <w:rPr>
          <w:lang w:val="en-US"/>
        </w:rPr>
        <w:t>‘</w:t>
      </w:r>
      <w:r>
        <w:rPr>
          <w:lang w:val="en-US"/>
        </w:rPr>
        <w:t xml:space="preserve">children </w:t>
      </w:r>
      <w:r w:rsidR="00B7177D">
        <w:rPr>
          <w:lang w:val="en-US"/>
        </w:rPr>
        <w:t xml:space="preserve">at risk’ </w:t>
      </w:r>
      <w:r w:rsidR="0021566F">
        <w:rPr>
          <w:lang w:val="en-US"/>
        </w:rPr>
        <w:t>are</w:t>
      </w:r>
      <w:r w:rsidR="00B7177D">
        <w:rPr>
          <w:lang w:val="en-US"/>
        </w:rPr>
        <w:t xml:space="preserve"> expressly defined </w:t>
      </w:r>
      <w:r w:rsidR="00B37FBD">
        <w:rPr>
          <w:lang w:val="en-US"/>
        </w:rPr>
        <w:t xml:space="preserve">as an umbrella </w:t>
      </w:r>
      <w:r w:rsidR="00384A10">
        <w:rPr>
          <w:lang w:val="en-US"/>
        </w:rPr>
        <w:t>group</w:t>
      </w:r>
      <w:r w:rsidR="00B37FBD">
        <w:rPr>
          <w:lang w:val="en-US"/>
        </w:rPr>
        <w:t xml:space="preserve"> in child protection legislation</w:t>
      </w:r>
      <w:r w:rsidR="00384A10">
        <w:rPr>
          <w:lang w:val="en-US"/>
        </w:rPr>
        <w:t xml:space="preserve">, </w:t>
      </w:r>
      <w:r w:rsidR="008875AD">
        <w:rPr>
          <w:lang w:val="en-US"/>
        </w:rPr>
        <w:t xml:space="preserve">and </w:t>
      </w:r>
      <w:r w:rsidR="00384A10">
        <w:rPr>
          <w:lang w:val="en-US"/>
        </w:rPr>
        <w:t>accorded special protection</w:t>
      </w:r>
      <w:r w:rsidR="00FA6305">
        <w:rPr>
          <w:lang w:val="en-US"/>
        </w:rPr>
        <w:t xml:space="preserve">, </w:t>
      </w:r>
      <w:r>
        <w:rPr>
          <w:lang w:val="en-US"/>
        </w:rPr>
        <w:t>–</w:t>
      </w:r>
      <w:r w:rsidR="00866BBF">
        <w:rPr>
          <w:lang w:val="en-US"/>
        </w:rPr>
        <w:t xml:space="preserve"> </w:t>
      </w:r>
      <w:r>
        <w:rPr>
          <w:lang w:val="en-US"/>
        </w:rPr>
        <w:t xml:space="preserve">according to the law, those are </w:t>
      </w:r>
      <w:r w:rsidR="00616B73">
        <w:rPr>
          <w:lang w:val="en-US"/>
        </w:rPr>
        <w:t>persons</w:t>
      </w:r>
      <w:r w:rsidR="00866BBF" w:rsidRPr="00866BBF">
        <w:t xml:space="preserve"> under 18 years of age, </w:t>
      </w:r>
      <w:r w:rsidR="00384A10">
        <w:t>impacted by one or more of the following:</w:t>
      </w:r>
      <w:r w:rsidR="00866BBF" w:rsidRPr="00866BBF">
        <w:t xml:space="preserve"> lack of parents or deprivation of parental care</w:t>
      </w:r>
      <w:r w:rsidR="008875AD">
        <w:t>;</w:t>
      </w:r>
      <w:r w:rsidR="00866BBF" w:rsidRPr="00866BBF">
        <w:t xml:space="preserve"> victimhood of abuse, violence, exploitation, or any other inhuman or degrading treatment or punishment in or out of their family</w:t>
      </w:r>
      <w:r w:rsidR="008875AD">
        <w:t>;</w:t>
      </w:r>
      <w:r w:rsidR="00866BBF" w:rsidRPr="00866BBF">
        <w:t xml:space="preserve"> </w:t>
      </w:r>
      <w:r w:rsidR="008875AD">
        <w:t>in</w:t>
      </w:r>
      <w:r w:rsidR="00866BBF" w:rsidRPr="00866BBF">
        <w:t xml:space="preserve"> danger of causing damage to their physical, moral, intellectual and social development</w:t>
      </w:r>
      <w:r w:rsidR="008875AD">
        <w:t>;</w:t>
      </w:r>
      <w:r w:rsidR="00866BBF" w:rsidRPr="00866BBF">
        <w:t xml:space="preserve"> risk of </w:t>
      </w:r>
      <w:r w:rsidR="008875AD">
        <w:t xml:space="preserve">or actual </w:t>
      </w:r>
      <w:r w:rsidR="00866BBF" w:rsidRPr="00866BBF">
        <w:t>dropping out of school.</w:t>
      </w:r>
      <w:r w:rsidR="00B37FBD">
        <w:rPr>
          <w:rStyle w:val="FootnoteReference"/>
          <w:lang w:val="en-US"/>
        </w:rPr>
        <w:footnoteReference w:id="7"/>
      </w:r>
      <w:r w:rsidR="00B7177D">
        <w:rPr>
          <w:lang w:val="en-US"/>
        </w:rPr>
        <w:t xml:space="preserve"> </w:t>
      </w:r>
      <w:r w:rsidR="00705DA1">
        <w:rPr>
          <w:lang w:val="en-US"/>
        </w:rPr>
        <w:t>Specialists also point out different age limits of ‘child’ in different pieces of legislation</w:t>
      </w:r>
      <w:r w:rsidR="00DB1000">
        <w:rPr>
          <w:lang w:val="en-US"/>
        </w:rPr>
        <w:t>, for example</w:t>
      </w:r>
      <w:r w:rsidR="00705DA1">
        <w:rPr>
          <w:lang w:val="en-US"/>
        </w:rPr>
        <w:t xml:space="preserve"> </w:t>
      </w:r>
      <w:r w:rsidR="00EE3512">
        <w:rPr>
          <w:lang w:val="en-US"/>
        </w:rPr>
        <w:t>the family allowances legislation</w:t>
      </w:r>
      <w:r w:rsidR="00EE3512">
        <w:rPr>
          <w:rStyle w:val="FootnoteReference"/>
          <w:lang w:val="en-US"/>
        </w:rPr>
        <w:footnoteReference w:id="8"/>
      </w:r>
      <w:r w:rsidR="00EE3512">
        <w:rPr>
          <w:lang w:val="en-US"/>
        </w:rPr>
        <w:t xml:space="preserve"> sees a child as a person of up to 20 years of age, </w:t>
      </w:r>
      <w:r w:rsidR="00DB1000">
        <w:rPr>
          <w:lang w:val="en-US"/>
        </w:rPr>
        <w:t>which may create gaps and contradictions, but allegedly contributes to the individuali</w:t>
      </w:r>
      <w:r w:rsidR="00384A10">
        <w:rPr>
          <w:lang w:val="en-US"/>
        </w:rPr>
        <w:t>s</w:t>
      </w:r>
      <w:r w:rsidR="00DB1000">
        <w:rPr>
          <w:lang w:val="en-US"/>
        </w:rPr>
        <w:t xml:space="preserve">ation of social services. </w:t>
      </w:r>
    </w:p>
    <w:p w14:paraId="2EDA799A" w14:textId="634885F3" w:rsidR="009E0018" w:rsidRPr="00DC37DB" w:rsidRDefault="009E0018" w:rsidP="0032208C">
      <w:r>
        <w:t>The National Strategy for the Child (2008-2018) (</w:t>
      </w:r>
      <w:r>
        <w:rPr>
          <w:i/>
          <w:lang w:val="bg-BG"/>
        </w:rPr>
        <w:t>Национална стратегия за детето (2008-2018)</w:t>
      </w:r>
      <w:r>
        <w:rPr>
          <w:lang w:val="bg-BG"/>
        </w:rPr>
        <w:t>)</w:t>
      </w:r>
      <w:r>
        <w:t xml:space="preserve"> gives a list of ‘children at risk’, and elaborates on each of their categories</w:t>
      </w:r>
      <w:r w:rsidR="00790D42">
        <w:t>:</w:t>
      </w:r>
      <w:r>
        <w:t xml:space="preserve"> children </w:t>
      </w:r>
      <w:r w:rsidR="00790D42">
        <w:t>institutionalised</w:t>
      </w:r>
      <w:r>
        <w:t xml:space="preserve"> </w:t>
      </w:r>
      <w:r w:rsidR="00F44B92">
        <w:t>for</w:t>
      </w:r>
      <w:r>
        <w:t xml:space="preserve"> specialised care, children with special education needs, victims of violence and exploitation, children on the street, children subjected to dangerous child labo</w:t>
      </w:r>
      <w:r w:rsidR="00790D42">
        <w:t>u</w:t>
      </w:r>
      <w:r>
        <w:t>r, victims of trafficking or other crimes, perpetrators of crimes, children on the internet, children victims of traffic accidents, and children refugees.</w:t>
      </w:r>
      <w:r>
        <w:rPr>
          <w:rStyle w:val="FootnoteReference"/>
        </w:rPr>
        <w:footnoteReference w:id="9"/>
      </w:r>
      <w:r w:rsidR="003E75F4">
        <w:rPr>
          <w:lang w:val="bg-BG"/>
        </w:rPr>
        <w:t xml:space="preserve"> </w:t>
      </w:r>
      <w:r w:rsidR="003E75F4">
        <w:t xml:space="preserve">The Strategy is operationalized in annual National Programmes for Child Protection. </w:t>
      </w:r>
    </w:p>
    <w:p w14:paraId="027F31DD" w14:textId="118AB63C" w:rsidR="00012492" w:rsidRPr="00012492" w:rsidRDefault="008A659D" w:rsidP="0032208C">
      <w:r>
        <w:t>NGO analyses</w:t>
      </w:r>
      <w:r>
        <w:rPr>
          <w:rStyle w:val="FootnoteReference"/>
        </w:rPr>
        <w:footnoteReference w:id="10"/>
      </w:r>
      <w:r>
        <w:t xml:space="preserve"> have given the children at risk an even </w:t>
      </w:r>
      <w:r w:rsidR="003F53E0">
        <w:t>more specific</w:t>
      </w:r>
      <w:r>
        <w:t xml:space="preserve"> scope by including </w:t>
      </w:r>
      <w:r w:rsidR="00012492">
        <w:t>criminological and victimological risk</w:t>
      </w:r>
      <w:r w:rsidR="00826E0D">
        <w:t>s</w:t>
      </w:r>
      <w:r w:rsidR="00012492">
        <w:t>: children who run away from home, school or speciali</w:t>
      </w:r>
      <w:r w:rsidR="00826E0D">
        <w:t>s</w:t>
      </w:r>
      <w:r w:rsidR="00012492">
        <w:t xml:space="preserve">ed institutions, vagrant and begging children, children without care, children using alcohol and drugs, children victims and perpetrators of crimes, abused children, children victims of violence within the family or among children, children victims of sexual exploitation, forced prostitution and trafficking. </w:t>
      </w:r>
    </w:p>
    <w:p w14:paraId="7AD60D69" w14:textId="77777777" w:rsidR="004F7684" w:rsidRPr="008A0FA6" w:rsidRDefault="004F7684" w:rsidP="0032208C">
      <w:pPr>
        <w:pStyle w:val="FRABodyText"/>
        <w:rPr>
          <w:lang w:val="bg-BG"/>
        </w:rPr>
      </w:pPr>
    </w:p>
    <w:p w14:paraId="1352EE47" w14:textId="77777777" w:rsidR="00F106E0" w:rsidRPr="00F106E0" w:rsidRDefault="00F106E0" w:rsidP="008E576F">
      <w:pPr>
        <w:numPr>
          <w:ilvl w:val="0"/>
          <w:numId w:val="3"/>
        </w:numPr>
        <w:spacing w:line="276" w:lineRule="auto"/>
        <w:rPr>
          <w:b/>
        </w:rPr>
      </w:pPr>
      <w:r w:rsidRPr="00F106E0">
        <w:rPr>
          <w:b/>
        </w:rPr>
        <w:t>Persons with Disabilities</w:t>
      </w:r>
    </w:p>
    <w:p w14:paraId="7F9D7D55" w14:textId="767D1D84" w:rsidR="000375B6" w:rsidRPr="001F4B7B" w:rsidRDefault="00790D42" w:rsidP="0032208C">
      <w:pPr>
        <w:pStyle w:val="FRABodyText"/>
        <w:rPr>
          <w:lang w:val="bg-BG"/>
        </w:rPr>
      </w:pPr>
      <w:r>
        <w:rPr>
          <w:lang w:val="en-US"/>
        </w:rPr>
        <w:t>T</w:t>
      </w:r>
      <w:r w:rsidR="008A0FA6">
        <w:rPr>
          <w:lang w:val="en-US"/>
        </w:rPr>
        <w:t xml:space="preserve">he Constitution of the Republic of Bulgaria </w:t>
      </w:r>
      <w:r w:rsidR="008A0FA6" w:rsidRPr="008B2A9F">
        <w:rPr>
          <w:i/>
          <w:lang w:val="en-US"/>
        </w:rPr>
        <w:t>(</w:t>
      </w:r>
      <w:r w:rsidR="008A0FA6" w:rsidRPr="008B2A9F">
        <w:rPr>
          <w:i/>
          <w:lang w:val="bg-BG"/>
        </w:rPr>
        <w:t>Конституция на Република България</w:t>
      </w:r>
      <w:r w:rsidR="008A0FA6" w:rsidRPr="008B2A9F">
        <w:rPr>
          <w:i/>
          <w:lang w:val="en-US"/>
        </w:rPr>
        <w:t>)</w:t>
      </w:r>
      <w:r>
        <w:rPr>
          <w:iCs/>
          <w:lang w:val="en-US"/>
        </w:rPr>
        <w:t>,</w:t>
      </w:r>
      <w:r w:rsidR="001F4B7B">
        <w:rPr>
          <w:lang w:val="en-US"/>
        </w:rPr>
        <w:t xml:space="preserve"> talk</w:t>
      </w:r>
      <w:r w:rsidR="00BA0B5D">
        <w:rPr>
          <w:lang w:val="en-US"/>
        </w:rPr>
        <w:t>s</w:t>
      </w:r>
      <w:r w:rsidR="001F4B7B">
        <w:rPr>
          <w:lang w:val="en-US"/>
        </w:rPr>
        <w:t xml:space="preserve"> about people with ‘physical and mental disabilities’ </w:t>
      </w:r>
      <w:r w:rsidR="001F4B7B" w:rsidRPr="001F4B7B">
        <w:rPr>
          <w:i/>
          <w:lang w:val="en-US"/>
        </w:rPr>
        <w:t>(</w:t>
      </w:r>
      <w:r w:rsidR="001F4B7B" w:rsidRPr="001F4B7B">
        <w:rPr>
          <w:i/>
          <w:lang w:val="bg-BG"/>
        </w:rPr>
        <w:t>физически и психически увреждания</w:t>
      </w:r>
      <w:r w:rsidR="001F4B7B" w:rsidRPr="001F4B7B">
        <w:rPr>
          <w:i/>
          <w:lang w:val="en-US"/>
        </w:rPr>
        <w:t>)</w:t>
      </w:r>
      <w:r w:rsidR="001F4B7B">
        <w:rPr>
          <w:i/>
          <w:lang w:val="bg-BG"/>
        </w:rPr>
        <w:t xml:space="preserve"> </w:t>
      </w:r>
      <w:r w:rsidR="001F4B7B">
        <w:rPr>
          <w:lang w:val="en-US"/>
        </w:rPr>
        <w:t>in two provisions,</w:t>
      </w:r>
      <w:r w:rsidR="00644C8A">
        <w:rPr>
          <w:rStyle w:val="FootnoteReference"/>
          <w:lang w:val="en-US"/>
        </w:rPr>
        <w:footnoteReference w:id="11"/>
      </w:r>
      <w:r w:rsidR="00644C8A">
        <w:rPr>
          <w:lang w:val="en-US"/>
        </w:rPr>
        <w:t xml:space="preserve"> </w:t>
      </w:r>
      <w:r w:rsidR="001F4B7B">
        <w:rPr>
          <w:lang w:val="en-US"/>
        </w:rPr>
        <w:t xml:space="preserve">one obligating the state to </w:t>
      </w:r>
      <w:r w:rsidR="00BA0B5D">
        <w:rPr>
          <w:lang w:val="en-US"/>
        </w:rPr>
        <w:t>facilitate</w:t>
      </w:r>
      <w:r w:rsidR="001F4B7B">
        <w:rPr>
          <w:lang w:val="en-US"/>
        </w:rPr>
        <w:t xml:space="preserve"> their right to employment, and one </w:t>
      </w:r>
      <w:r w:rsidR="00F44B92">
        <w:rPr>
          <w:lang w:val="en-US"/>
        </w:rPr>
        <w:t>according them</w:t>
      </w:r>
      <w:r w:rsidR="001F4B7B">
        <w:rPr>
          <w:lang w:val="en-US"/>
        </w:rPr>
        <w:t xml:space="preserve"> ‘particular care’ </w:t>
      </w:r>
      <w:r w:rsidR="001F4B7B" w:rsidRPr="001F4B7B">
        <w:rPr>
          <w:i/>
          <w:lang w:val="bg-BG"/>
        </w:rPr>
        <w:t>(особена закрила</w:t>
      </w:r>
      <w:r w:rsidR="001F4B7B" w:rsidRPr="001F4B7B">
        <w:rPr>
          <w:i/>
          <w:lang w:val="en-US"/>
        </w:rPr>
        <w:t>)</w:t>
      </w:r>
      <w:r w:rsidR="001F4B7B">
        <w:rPr>
          <w:lang w:val="bg-BG"/>
        </w:rPr>
        <w:t xml:space="preserve">. </w:t>
      </w:r>
    </w:p>
    <w:p w14:paraId="2CDCC7EF" w14:textId="77777777" w:rsidR="008A0FA6" w:rsidRDefault="008A0FA6" w:rsidP="0032208C">
      <w:pPr>
        <w:pStyle w:val="FRABodyText"/>
      </w:pPr>
    </w:p>
    <w:p w14:paraId="5D79370E" w14:textId="5349BDE6" w:rsidR="00F61684" w:rsidRDefault="000375B6" w:rsidP="0032208C">
      <w:pPr>
        <w:pStyle w:val="FRABodyText"/>
      </w:pPr>
      <w:r>
        <w:rPr>
          <w:lang w:val="en-US"/>
        </w:rPr>
        <w:t>The People with Disabilities Act</w:t>
      </w:r>
      <w:r w:rsidR="001A5DDD">
        <w:rPr>
          <w:lang w:val="bg-BG"/>
        </w:rPr>
        <w:t xml:space="preserve"> </w:t>
      </w:r>
      <w:r w:rsidR="001A5DDD" w:rsidRPr="001A5DDD">
        <w:rPr>
          <w:i/>
          <w:lang w:val="bg-BG"/>
        </w:rPr>
        <w:t>(Закон за хората с увреждания)</w:t>
      </w:r>
      <w:r w:rsidR="001A5DDD">
        <w:rPr>
          <w:rStyle w:val="FootnoteReference"/>
          <w:i/>
          <w:lang w:val="bg-BG"/>
        </w:rPr>
        <w:footnoteReference w:id="12"/>
      </w:r>
      <w:r>
        <w:rPr>
          <w:lang w:val="en-US"/>
        </w:rPr>
        <w:t xml:space="preserve"> defines</w:t>
      </w:r>
      <w:r w:rsidR="00CF509C">
        <w:rPr>
          <w:lang w:val="en-US"/>
        </w:rPr>
        <w:t xml:space="preserve">, </w:t>
      </w:r>
      <w:r w:rsidR="006D03C6">
        <w:rPr>
          <w:lang w:val="en-US"/>
        </w:rPr>
        <w:t>along</w:t>
      </w:r>
      <w:r w:rsidR="00CF509C">
        <w:rPr>
          <w:lang w:val="en-US"/>
        </w:rPr>
        <w:t xml:space="preserve"> the definition of the Convention </w:t>
      </w:r>
      <w:r w:rsidR="00651CDE">
        <w:rPr>
          <w:lang w:val="en-US"/>
        </w:rPr>
        <w:t>on the Rights of Persons with Disabilities (CRPD),</w:t>
      </w:r>
      <w:r>
        <w:rPr>
          <w:lang w:val="en-US"/>
        </w:rPr>
        <w:t xml:space="preserve"> </w:t>
      </w:r>
      <w:r w:rsidR="00CF509C">
        <w:rPr>
          <w:lang w:val="en-US"/>
        </w:rPr>
        <w:t xml:space="preserve">‘persons with </w:t>
      </w:r>
      <w:r w:rsidR="00CF509C">
        <w:rPr>
          <w:lang w:val="en-US"/>
        </w:rPr>
        <w:lastRenderedPageBreak/>
        <w:t>disabilities’ as persons with physical, mental, intellectual or sensory impairments which in interaction with the surrounding environment may hinder their full and effective participation in public life.</w:t>
      </w:r>
      <w:r w:rsidR="00651CDE">
        <w:rPr>
          <w:lang w:val="en-US"/>
        </w:rPr>
        <w:t xml:space="preserve"> Persons with long-term disabilities are defined, using the same components, with the note of the long-term nature of the impairments and a medical expert opinion of a disability of 50 or over 50%.</w:t>
      </w:r>
      <w:r w:rsidR="00FC2C37">
        <w:rPr>
          <w:lang w:val="bg-BG"/>
        </w:rPr>
        <w:t xml:space="preserve"> </w:t>
      </w:r>
      <w:r w:rsidR="00940F3F">
        <w:rPr>
          <w:lang w:val="en-US"/>
        </w:rPr>
        <w:t>In an advocacy report from 2016,</w:t>
      </w:r>
      <w:r w:rsidR="00940F3F">
        <w:rPr>
          <w:rStyle w:val="FootnoteReference"/>
          <w:lang w:val="en-US"/>
        </w:rPr>
        <w:footnoteReference w:id="13"/>
      </w:r>
      <w:r w:rsidR="00940F3F">
        <w:rPr>
          <w:lang w:val="en-US"/>
        </w:rPr>
        <w:t xml:space="preserve"> </w:t>
      </w:r>
      <w:r w:rsidR="00940F3F">
        <w:t>t</w:t>
      </w:r>
      <w:r w:rsidR="00F61684">
        <w:t>he Cent</w:t>
      </w:r>
      <w:r w:rsidR="00940F3F">
        <w:t>er</w:t>
      </w:r>
      <w:r w:rsidR="00F61684">
        <w:t xml:space="preserve"> for Independent Li</w:t>
      </w:r>
      <w:r w:rsidR="00940F3F">
        <w:t xml:space="preserve">ving </w:t>
      </w:r>
      <w:r w:rsidR="00940F3F" w:rsidRPr="00940F3F">
        <w:rPr>
          <w:i/>
        </w:rPr>
        <w:t>(</w:t>
      </w:r>
      <w:r w:rsidR="00940F3F" w:rsidRPr="00940F3F">
        <w:rPr>
          <w:i/>
          <w:lang w:val="bg-BG"/>
        </w:rPr>
        <w:t>Център за независим живот</w:t>
      </w:r>
      <w:r w:rsidR="00940F3F" w:rsidRPr="00940F3F">
        <w:rPr>
          <w:i/>
        </w:rPr>
        <w:t>)</w:t>
      </w:r>
      <w:r w:rsidR="00940F3F">
        <w:t xml:space="preserve"> also follows the CRPD in defining </w:t>
      </w:r>
      <w:r w:rsidR="00F61684">
        <w:t>disability as a dynamic social notion, which reflects the impossibility of people with ‘</w:t>
      </w:r>
      <w:r w:rsidR="00940F3F">
        <w:t>long-term</w:t>
      </w:r>
      <w:r w:rsidR="00F61684">
        <w:t xml:space="preserve"> physical, </w:t>
      </w:r>
      <w:r w:rsidR="00940F3F">
        <w:t>mental</w:t>
      </w:r>
      <w:r w:rsidR="00F61684">
        <w:t xml:space="preserve">, intellectual and/or sensitive </w:t>
      </w:r>
      <w:r w:rsidR="00940F3F">
        <w:t>impairment</w:t>
      </w:r>
      <w:r w:rsidR="00F61684">
        <w:t>’ to participate in the communities of their choice due to barriers in the environment they inhabit – physical, cultural and institutional.</w:t>
      </w:r>
      <w:r w:rsidR="00940F3F">
        <w:t xml:space="preserve"> </w:t>
      </w:r>
    </w:p>
    <w:p w14:paraId="131B0452" w14:textId="77777777" w:rsidR="007F642B" w:rsidRDefault="007F642B" w:rsidP="0032208C">
      <w:pPr>
        <w:pStyle w:val="FRABodyText"/>
      </w:pPr>
    </w:p>
    <w:p w14:paraId="0E818221" w14:textId="255ED237" w:rsidR="007F642B" w:rsidRDefault="007F642B" w:rsidP="0032208C">
      <w:pPr>
        <w:pStyle w:val="FRABodyText"/>
      </w:pPr>
      <w:r>
        <w:t>Thus, the leading criteria used to delineate the group of persons with disabilities, are their various impairments</w:t>
      </w:r>
      <w:r w:rsidR="00FC1AD6">
        <w:t>= Still, in an attempt to escape from the long years of ‘medicalisation’ of disability, Bulgaria has officially recently introduced the supporting criterion of</w:t>
      </w:r>
      <w:r>
        <w:t xml:space="preserve"> hindered participation in public life</w:t>
      </w:r>
      <w:r w:rsidR="00FC1AD6">
        <w:t>, although its practical implementation is still to be seen</w:t>
      </w:r>
      <w:r>
        <w:t xml:space="preserve">. </w:t>
      </w:r>
    </w:p>
    <w:p w14:paraId="61995E60" w14:textId="396455A4" w:rsidR="00F106E0" w:rsidRPr="00F106E0" w:rsidRDefault="00F106E0" w:rsidP="0032208C">
      <w:pPr>
        <w:pStyle w:val="FRABodyText"/>
      </w:pPr>
    </w:p>
    <w:p w14:paraId="7DE54B37" w14:textId="77777777" w:rsidR="00F106E0" w:rsidRPr="00F106E0" w:rsidRDefault="00F106E0" w:rsidP="008E576F">
      <w:pPr>
        <w:numPr>
          <w:ilvl w:val="0"/>
          <w:numId w:val="3"/>
        </w:numPr>
        <w:spacing w:line="276" w:lineRule="auto"/>
        <w:rPr>
          <w:b/>
        </w:rPr>
      </w:pPr>
      <w:r w:rsidRPr="00F106E0">
        <w:rPr>
          <w:b/>
        </w:rPr>
        <w:t>Very Young Persons (15-29 y.o.)</w:t>
      </w:r>
    </w:p>
    <w:p w14:paraId="6083869F" w14:textId="155E5946" w:rsidR="00F106E0" w:rsidRDefault="00175FA6" w:rsidP="0032208C">
      <w:pPr>
        <w:pStyle w:val="FRABodyText"/>
      </w:pPr>
      <w:r w:rsidRPr="00A705BE">
        <w:rPr>
          <w:lang w:val="en-US"/>
        </w:rPr>
        <w:t>T</w:t>
      </w:r>
      <w:r w:rsidR="00F106E0" w:rsidRPr="00A705BE">
        <w:t xml:space="preserve">he Bulgarian Youth Act </w:t>
      </w:r>
      <w:r w:rsidR="00F106E0" w:rsidRPr="00A705BE">
        <w:rPr>
          <w:i/>
        </w:rPr>
        <w:t>(Закон за младежта)</w:t>
      </w:r>
      <w:r w:rsidR="0053603A">
        <w:rPr>
          <w:i/>
        </w:rPr>
        <w:t>,</w:t>
      </w:r>
      <w:r w:rsidR="0011318B" w:rsidRPr="0053603A">
        <w:rPr>
          <w:rStyle w:val="FootnoteReference"/>
          <w:iCs/>
        </w:rPr>
        <w:footnoteReference w:id="14"/>
      </w:r>
      <w:r w:rsidR="0053603A">
        <w:rPr>
          <w:i/>
        </w:rPr>
        <w:t xml:space="preserve"> </w:t>
      </w:r>
      <w:r w:rsidR="0053603A">
        <w:rPr>
          <w:iCs/>
        </w:rPr>
        <w:t>and</w:t>
      </w:r>
      <w:r w:rsidRPr="00A705BE">
        <w:rPr>
          <w:i/>
        </w:rPr>
        <w:t xml:space="preserve"> </w:t>
      </w:r>
      <w:r w:rsidR="0053603A">
        <w:t>t</w:t>
      </w:r>
      <w:r w:rsidR="0053603A" w:rsidRPr="00A705BE">
        <w:t>he Bulgarian National Youth Strategy</w:t>
      </w:r>
      <w:r w:rsidR="0053603A">
        <w:t>,</w:t>
      </w:r>
      <w:r w:rsidR="0053603A" w:rsidRPr="0053603A">
        <w:rPr>
          <w:rStyle w:val="FootnoteReference"/>
          <w:iCs/>
        </w:rPr>
        <w:footnoteReference w:id="15"/>
      </w:r>
      <w:r w:rsidR="0053603A">
        <w:t xml:space="preserve"> </w:t>
      </w:r>
      <w:r w:rsidRPr="00A705BE">
        <w:t xml:space="preserve">define </w:t>
      </w:r>
      <w:r w:rsidR="0011318B" w:rsidRPr="00A705BE">
        <w:t xml:space="preserve">‘youth’ </w:t>
      </w:r>
      <w:r w:rsidR="0011318B" w:rsidRPr="00A705BE">
        <w:rPr>
          <w:i/>
        </w:rPr>
        <w:t>(</w:t>
      </w:r>
      <w:r w:rsidR="0011318B" w:rsidRPr="00A705BE">
        <w:rPr>
          <w:i/>
          <w:lang w:val="bg-BG"/>
        </w:rPr>
        <w:t>младежи</w:t>
      </w:r>
      <w:r w:rsidR="0011318B" w:rsidRPr="00A705BE">
        <w:rPr>
          <w:i/>
        </w:rPr>
        <w:t>)</w:t>
      </w:r>
      <w:r w:rsidR="0011318B" w:rsidRPr="00A705BE">
        <w:rPr>
          <w:i/>
          <w:lang w:val="bg-BG"/>
        </w:rPr>
        <w:t xml:space="preserve"> </w:t>
      </w:r>
      <w:r w:rsidR="0011318B" w:rsidRPr="00A705BE">
        <w:rPr>
          <w:lang w:val="en-US"/>
        </w:rPr>
        <w:t>as persons between 15 and 29 years of age</w:t>
      </w:r>
      <w:r w:rsidR="00A705BE" w:rsidRPr="00A705BE">
        <w:rPr>
          <w:lang w:val="en-US"/>
        </w:rPr>
        <w:t>.</w:t>
      </w:r>
      <w:r w:rsidR="00A705BE">
        <w:rPr>
          <w:lang w:val="en-US"/>
        </w:rPr>
        <w:t xml:space="preserve"> </w:t>
      </w:r>
      <w:r w:rsidR="0053603A">
        <w:rPr>
          <w:lang w:val="en-US"/>
        </w:rPr>
        <w:t>Besides the age criterion, f</w:t>
      </w:r>
      <w:r w:rsidR="00A705BE">
        <w:rPr>
          <w:lang w:val="en-US"/>
        </w:rPr>
        <w:t>or the purposes of the present repor</w:t>
      </w:r>
      <w:r w:rsidR="00A705BE" w:rsidRPr="00A705BE">
        <w:rPr>
          <w:lang w:val="en-US"/>
        </w:rPr>
        <w:t xml:space="preserve">t, </w:t>
      </w:r>
      <w:r w:rsidR="00A705BE" w:rsidRPr="00A705BE">
        <w:t>special attention will be paid to</w:t>
      </w:r>
      <w:r w:rsidR="00F106E0" w:rsidRPr="00A705BE">
        <w:t xml:space="preserve"> the school drop-outs, the non-economically active, and the untrained and unqualified professionally, </w:t>
      </w:r>
      <w:r w:rsidR="00DC2798">
        <w:t xml:space="preserve">touching, in some parts, upon the well known category of </w:t>
      </w:r>
      <w:r w:rsidR="00F106E0" w:rsidRPr="00A705BE">
        <w:t xml:space="preserve"> NEETs. </w:t>
      </w:r>
    </w:p>
    <w:p w14:paraId="6F48C75C" w14:textId="77777777" w:rsidR="0053603A" w:rsidRPr="00F106E0" w:rsidRDefault="0053603A" w:rsidP="0032208C">
      <w:pPr>
        <w:pStyle w:val="FRABodyText"/>
        <w:rPr>
          <w:highlight w:val="yellow"/>
        </w:rPr>
      </w:pPr>
    </w:p>
    <w:p w14:paraId="621E48F5" w14:textId="77777777" w:rsidR="00F106E0" w:rsidRPr="00F106E0" w:rsidRDefault="00F106E0" w:rsidP="008E576F">
      <w:pPr>
        <w:numPr>
          <w:ilvl w:val="0"/>
          <w:numId w:val="3"/>
        </w:numPr>
        <w:spacing w:line="276" w:lineRule="auto"/>
        <w:rPr>
          <w:b/>
        </w:rPr>
      </w:pPr>
      <w:r w:rsidRPr="00F106E0">
        <w:rPr>
          <w:b/>
        </w:rPr>
        <w:t>Older Persons (&gt;55 y.o.)</w:t>
      </w:r>
    </w:p>
    <w:p w14:paraId="1AA4C01B" w14:textId="0E502B4F" w:rsidR="00117265" w:rsidRPr="009C28A5" w:rsidRDefault="009C28A5" w:rsidP="005605CA">
      <w:pPr>
        <w:pStyle w:val="FRABodyText"/>
        <w:rPr>
          <w:lang w:val="en"/>
        </w:rPr>
      </w:pPr>
      <w:r w:rsidRPr="00557C47">
        <w:t xml:space="preserve">Bulgarian legal </w:t>
      </w:r>
      <w:r w:rsidR="00644140">
        <w:rPr>
          <w:lang w:val="en-US"/>
        </w:rPr>
        <w:t xml:space="preserve">and policy framework only offers </w:t>
      </w:r>
      <w:r w:rsidR="00644140">
        <w:t>scattered</w:t>
      </w:r>
      <w:r w:rsidRPr="009C28A5">
        <w:t xml:space="preserve"> definitions related to particular aspects of this group</w:t>
      </w:r>
      <w:r w:rsidR="0091132E">
        <w:t xml:space="preserve">. </w:t>
      </w:r>
      <w:r w:rsidRPr="00234721">
        <w:t xml:space="preserve">The </w:t>
      </w:r>
      <w:r w:rsidR="00644140">
        <w:t xml:space="preserve">new </w:t>
      </w:r>
      <w:r w:rsidRPr="00234721">
        <w:t>Social Services Act</w:t>
      </w:r>
      <w:r w:rsidRPr="009C28A5">
        <w:rPr>
          <w:lang w:val="bg-BG"/>
        </w:rPr>
        <w:t xml:space="preserve"> (</w:t>
      </w:r>
      <w:r w:rsidRPr="009C28A5">
        <w:rPr>
          <w:i/>
        </w:rPr>
        <w:t>Закон за социалните услуги</w:t>
      </w:r>
      <w:r w:rsidRPr="009C28A5">
        <w:rPr>
          <w:lang w:val="bg-BG"/>
        </w:rPr>
        <w:t>)</w:t>
      </w:r>
      <w:r w:rsidR="00E318CA">
        <w:rPr>
          <w:lang w:val="bg-BG"/>
        </w:rPr>
        <w:t>,</w:t>
      </w:r>
      <w:r w:rsidRPr="00234721">
        <w:rPr>
          <w:rStyle w:val="FootnoteReference"/>
          <w:lang w:val="bg-BG"/>
        </w:rPr>
        <w:footnoteReference w:id="16"/>
      </w:r>
      <w:r w:rsidR="00E318CA">
        <w:rPr>
          <w:lang w:val="bg-BG"/>
        </w:rPr>
        <w:t xml:space="preserve"> </w:t>
      </w:r>
      <w:r w:rsidR="00E318CA">
        <w:rPr>
          <w:lang w:val="en-US"/>
        </w:rPr>
        <w:t>in force as of 1 January 2020,</w:t>
      </w:r>
      <w:r w:rsidRPr="009C28A5">
        <w:rPr>
          <w:lang w:val="bg-BG"/>
        </w:rPr>
        <w:t xml:space="preserve"> </w:t>
      </w:r>
      <w:r>
        <w:t>defines</w:t>
      </w:r>
      <w:r w:rsidRPr="00234721">
        <w:t xml:space="preserve"> </w:t>
      </w:r>
      <w:r w:rsidRPr="009C28A5">
        <w:rPr>
          <w:lang w:val="en"/>
        </w:rPr>
        <w:t>older people</w:t>
      </w:r>
      <w:r w:rsidR="00CD4A80">
        <w:rPr>
          <w:lang w:val="en"/>
        </w:rPr>
        <w:t xml:space="preserve"> above </w:t>
      </w:r>
      <w:r w:rsidRPr="009C28A5">
        <w:rPr>
          <w:lang w:val="en"/>
        </w:rPr>
        <w:t>working age/unemployable</w:t>
      </w:r>
      <w:r w:rsidR="00CD4A80">
        <w:rPr>
          <w:lang w:val="en"/>
        </w:rPr>
        <w:t xml:space="preserve"> </w:t>
      </w:r>
      <w:r w:rsidR="00CD4A80" w:rsidRPr="00CD4A80">
        <w:rPr>
          <w:i/>
          <w:lang w:val="en"/>
        </w:rPr>
        <w:t>(</w:t>
      </w:r>
      <w:r w:rsidR="00CD4A80" w:rsidRPr="00CD4A80">
        <w:rPr>
          <w:i/>
          <w:lang w:val="bg-BG"/>
        </w:rPr>
        <w:t>възрастни хора в надтрудоспособна възраст</w:t>
      </w:r>
      <w:r w:rsidR="00CD4A80" w:rsidRPr="00CD4A80">
        <w:rPr>
          <w:i/>
          <w:lang w:val="en"/>
        </w:rPr>
        <w:t>)</w:t>
      </w:r>
      <w:r w:rsidRPr="009C28A5">
        <w:rPr>
          <w:lang w:val="en"/>
        </w:rPr>
        <w:t xml:space="preserve">  as persons who have reached the age</w:t>
      </w:r>
      <w:r w:rsidR="00CD4A80">
        <w:rPr>
          <w:lang w:val="bg-BG"/>
        </w:rPr>
        <w:t xml:space="preserve"> </w:t>
      </w:r>
      <w:r w:rsidR="00CD4A80">
        <w:rPr>
          <w:lang w:val="en-US"/>
        </w:rPr>
        <w:t>of retirement – generally, 60 years</w:t>
      </w:r>
      <w:r w:rsidRPr="009C28A5">
        <w:rPr>
          <w:lang w:val="en"/>
        </w:rPr>
        <w:t xml:space="preserve"> and 10 months for women and 63 years and 10 months for men</w:t>
      </w:r>
      <w:r w:rsidR="00117265">
        <w:rPr>
          <w:lang w:val="en"/>
        </w:rPr>
        <w:t>, with a certain number of years of social security contributions. Thus, age and period of social security contributions are the leading defining criteria for social security and social services legislation</w:t>
      </w:r>
      <w:r w:rsidR="00DC2798">
        <w:rPr>
          <w:lang w:val="en-US"/>
        </w:rPr>
        <w:t>, including the cases where older people do not have access to any other pension and are accorded</w:t>
      </w:r>
      <w:r w:rsidR="00877DF1">
        <w:rPr>
          <w:lang w:val="en-US"/>
        </w:rPr>
        <w:t>, under certain conditions,</w:t>
      </w:r>
      <w:r w:rsidR="00DC2798">
        <w:rPr>
          <w:lang w:val="en-US"/>
        </w:rPr>
        <w:t xml:space="preserve"> the so called </w:t>
      </w:r>
      <w:r w:rsidR="00877DF1">
        <w:rPr>
          <w:lang w:val="en-US"/>
        </w:rPr>
        <w:t>‘social pension’</w:t>
      </w:r>
      <w:r w:rsidR="00117265">
        <w:rPr>
          <w:lang w:val="en"/>
        </w:rPr>
        <w:t>.</w:t>
      </w:r>
      <w:r w:rsidR="00877DF1">
        <w:rPr>
          <w:rStyle w:val="FootnoteReference"/>
          <w:lang w:val="en"/>
        </w:rPr>
        <w:footnoteReference w:id="17"/>
      </w:r>
      <w:r w:rsidR="00117265">
        <w:rPr>
          <w:lang w:val="en"/>
        </w:rPr>
        <w:t xml:space="preserve"> </w:t>
      </w:r>
      <w:r w:rsidR="0071503F">
        <w:rPr>
          <w:rStyle w:val="tlid-translation"/>
          <w:lang w:val="en-US"/>
        </w:rPr>
        <w:t xml:space="preserve">Without giving an express definition, </w:t>
      </w:r>
      <w:r w:rsidR="0071503F">
        <w:rPr>
          <w:rStyle w:val="tlid-translation"/>
        </w:rPr>
        <w:t>t</w:t>
      </w:r>
      <w:r w:rsidR="00117265" w:rsidRPr="00C13CBA">
        <w:rPr>
          <w:rStyle w:val="tlid-translation"/>
        </w:rPr>
        <w:t xml:space="preserve">he National </w:t>
      </w:r>
      <w:r w:rsidR="00644140">
        <w:rPr>
          <w:rStyle w:val="tlid-translation"/>
        </w:rPr>
        <w:lastRenderedPageBreak/>
        <w:t>S</w:t>
      </w:r>
      <w:r w:rsidR="00117265" w:rsidRPr="00C13CBA">
        <w:rPr>
          <w:rStyle w:val="tlid-translation"/>
        </w:rPr>
        <w:t xml:space="preserve">trategy for </w:t>
      </w:r>
      <w:r w:rsidR="00117265" w:rsidRPr="007505B8">
        <w:rPr>
          <w:rStyle w:val="tlid-translation"/>
          <w:lang w:val="bg-BG"/>
        </w:rPr>
        <w:t>Active Ageing</w:t>
      </w:r>
      <w:r w:rsidR="00117265">
        <w:rPr>
          <w:rStyle w:val="FootnoteReference"/>
        </w:rPr>
        <w:footnoteReference w:id="18"/>
      </w:r>
      <w:r w:rsidR="00E93088">
        <w:rPr>
          <w:rStyle w:val="tlid-translation"/>
        </w:rPr>
        <w:t xml:space="preserve"> puts a lower age threshold, namely 55 years of age, and </w:t>
      </w:r>
      <w:r w:rsidR="003E1F19">
        <w:rPr>
          <w:rStyle w:val="tlid-translation"/>
        </w:rPr>
        <w:t xml:space="preserve">uses </w:t>
      </w:r>
      <w:r w:rsidR="00E93088">
        <w:rPr>
          <w:rStyle w:val="tlid-translation"/>
        </w:rPr>
        <w:t xml:space="preserve">the additional criterion of being employable, or retired. </w:t>
      </w:r>
    </w:p>
    <w:p w14:paraId="325CBAD3" w14:textId="77777777" w:rsidR="009935EB" w:rsidRPr="008E576F" w:rsidRDefault="009935EB" w:rsidP="0032208C">
      <w:pPr>
        <w:pStyle w:val="FRABodyText"/>
        <w:rPr>
          <w:lang w:val="bg-BG"/>
        </w:rPr>
      </w:pPr>
    </w:p>
    <w:p w14:paraId="63A6CFBA" w14:textId="77777777" w:rsidR="00F106E0" w:rsidRPr="00F106E0" w:rsidRDefault="00F106E0" w:rsidP="008E576F">
      <w:pPr>
        <w:numPr>
          <w:ilvl w:val="0"/>
          <w:numId w:val="3"/>
        </w:numPr>
        <w:spacing w:line="276" w:lineRule="auto"/>
        <w:rPr>
          <w:b/>
        </w:rPr>
      </w:pPr>
      <w:r w:rsidRPr="00F106E0">
        <w:rPr>
          <w:b/>
        </w:rPr>
        <w:t>People in Precarious Housing</w:t>
      </w:r>
    </w:p>
    <w:p w14:paraId="0FBFD65C" w14:textId="5F937D49" w:rsidR="00614A47" w:rsidRDefault="009C28A5" w:rsidP="0032208C">
      <w:pPr>
        <w:pStyle w:val="FRABodyText"/>
        <w:rPr>
          <w:lang w:val="en-US"/>
        </w:rPr>
      </w:pPr>
      <w:r w:rsidRPr="009C28A5">
        <w:rPr>
          <w:rFonts w:eastAsiaTheme="minorHAnsi"/>
        </w:rPr>
        <w:t xml:space="preserve">Bulgarian legal system </w:t>
      </w:r>
      <w:r w:rsidRPr="000B2D87">
        <w:t xml:space="preserve">does not offer a </w:t>
      </w:r>
      <w:r w:rsidR="00833C5D">
        <w:t xml:space="preserve">specific </w:t>
      </w:r>
      <w:r w:rsidRPr="000B2D87">
        <w:t>definition for th</w:t>
      </w:r>
      <w:r w:rsidR="00B165A2">
        <w:t>is</w:t>
      </w:r>
      <w:r w:rsidRPr="000B2D87">
        <w:t xml:space="preserve"> group</w:t>
      </w:r>
      <w:r w:rsidR="00B165A2">
        <w:t xml:space="preserve">, but has a number of definitions for the homeless. </w:t>
      </w:r>
      <w:r w:rsidR="00B165A2">
        <w:rPr>
          <w:lang w:val="en-US"/>
        </w:rPr>
        <w:t>I</w:t>
      </w:r>
      <w:r w:rsidR="00614BFD">
        <w:rPr>
          <w:lang w:val="en-US"/>
        </w:rPr>
        <w:t>n a</w:t>
      </w:r>
      <w:r w:rsidR="00B165A2">
        <w:rPr>
          <w:lang w:val="en-US"/>
        </w:rPr>
        <w:t>n</w:t>
      </w:r>
      <w:r w:rsidR="00614BFD">
        <w:rPr>
          <w:lang w:val="en-US"/>
        </w:rPr>
        <w:t xml:space="preserve"> act </w:t>
      </w:r>
      <w:r w:rsidR="00B165A2">
        <w:rPr>
          <w:lang w:val="en-US"/>
        </w:rPr>
        <w:t>on</w:t>
      </w:r>
      <w:r w:rsidR="00512733">
        <w:rPr>
          <w:lang w:val="en-US"/>
        </w:rPr>
        <w:t xml:space="preserve"> social and shared economy</w:t>
      </w:r>
      <w:r w:rsidR="00B165A2">
        <w:rPr>
          <w:lang w:val="en-US"/>
        </w:rPr>
        <w:t>,</w:t>
      </w:r>
      <w:r w:rsidR="00C00377">
        <w:rPr>
          <w:rStyle w:val="FootnoteReference"/>
          <w:lang w:val="en-US"/>
        </w:rPr>
        <w:footnoteReference w:id="19"/>
      </w:r>
      <w:r w:rsidR="00970957">
        <w:rPr>
          <w:lang w:val="en-US"/>
        </w:rPr>
        <w:t xml:space="preserve"> a </w:t>
      </w:r>
      <w:r w:rsidR="00B832A8">
        <w:rPr>
          <w:lang w:val="en-US"/>
        </w:rPr>
        <w:t>h</w:t>
      </w:r>
      <w:r w:rsidR="00132702">
        <w:rPr>
          <w:lang w:val="en-US"/>
        </w:rPr>
        <w:t xml:space="preserve">omeless </w:t>
      </w:r>
      <w:r w:rsidR="00970957">
        <w:rPr>
          <w:lang w:val="en-US"/>
        </w:rPr>
        <w:t xml:space="preserve">person </w:t>
      </w:r>
      <w:r w:rsidR="00132702">
        <w:rPr>
          <w:lang w:val="en-US"/>
        </w:rPr>
        <w:t xml:space="preserve">is one </w:t>
      </w:r>
      <w:r w:rsidR="00970957">
        <w:rPr>
          <w:lang w:val="en-US"/>
        </w:rPr>
        <w:t xml:space="preserve">who does not own </w:t>
      </w:r>
      <w:r w:rsidR="00691D17">
        <w:rPr>
          <w:lang w:val="en-US"/>
        </w:rPr>
        <w:t>a</w:t>
      </w:r>
      <w:r w:rsidR="00970957">
        <w:rPr>
          <w:lang w:val="en-US"/>
        </w:rPr>
        <w:t xml:space="preserve"> home, </w:t>
      </w:r>
      <w:r w:rsidR="00097B37">
        <w:rPr>
          <w:lang w:val="en-US"/>
        </w:rPr>
        <w:t xml:space="preserve">cannot rent one using own financial means and is not placed in municipal housing and/or due to an incident has been left without housing. </w:t>
      </w:r>
      <w:r w:rsidR="0096394D">
        <w:rPr>
          <w:lang w:val="en-US"/>
        </w:rPr>
        <w:t>An older regulation on social services</w:t>
      </w:r>
      <w:r w:rsidR="0096394D">
        <w:rPr>
          <w:rStyle w:val="FootnoteReference"/>
          <w:lang w:val="en-US"/>
        </w:rPr>
        <w:footnoteReference w:id="20"/>
      </w:r>
      <w:r w:rsidR="0096394D">
        <w:rPr>
          <w:lang w:val="en-US"/>
        </w:rPr>
        <w:t xml:space="preserve"> uses a similar definition, but adds the criterion of not having </w:t>
      </w:r>
      <w:r w:rsidR="00D65FF9">
        <w:rPr>
          <w:lang w:val="en-US"/>
        </w:rPr>
        <w:t>parents or children able or willing to give the person housing.</w:t>
      </w:r>
      <w:r w:rsidR="0096394D">
        <w:rPr>
          <w:lang w:val="en-US"/>
        </w:rPr>
        <w:t xml:space="preserve"> </w:t>
      </w:r>
      <w:r w:rsidR="00614A47">
        <w:rPr>
          <w:lang w:val="en-US"/>
        </w:rPr>
        <w:t xml:space="preserve">One of the most recent definitions is found in </w:t>
      </w:r>
      <w:r w:rsidR="00614A47">
        <w:t>t</w:t>
      </w:r>
      <w:r w:rsidR="00614A47" w:rsidRPr="00BF0EA5">
        <w:t xml:space="preserve">he </w:t>
      </w:r>
      <w:r w:rsidR="00614A47">
        <w:t xml:space="preserve">new </w:t>
      </w:r>
      <w:r w:rsidR="00614A47" w:rsidRPr="00BF0EA5">
        <w:t xml:space="preserve">Social </w:t>
      </w:r>
      <w:r w:rsidR="00614A47">
        <w:t>S</w:t>
      </w:r>
      <w:r w:rsidR="00614A47" w:rsidRPr="00BF0EA5">
        <w:t>ervices Act</w:t>
      </w:r>
      <w:r w:rsidR="00614A47" w:rsidRPr="00BF0EA5">
        <w:rPr>
          <w:lang w:val="bg-BG"/>
        </w:rPr>
        <w:t xml:space="preserve"> (</w:t>
      </w:r>
      <w:r w:rsidR="00614A47" w:rsidRPr="00BF0EA5">
        <w:rPr>
          <w:i/>
        </w:rPr>
        <w:t>Закон за социалните услуги</w:t>
      </w:r>
      <w:r w:rsidR="00614A47" w:rsidRPr="00BF0EA5">
        <w:rPr>
          <w:lang w:val="bg-BG"/>
        </w:rPr>
        <w:t>)</w:t>
      </w:r>
      <w:r w:rsidR="00614A47">
        <w:rPr>
          <w:lang w:val="en-US"/>
        </w:rPr>
        <w:t>,</w:t>
      </w:r>
      <w:r w:rsidR="00614A47" w:rsidRPr="00BF0EA5">
        <w:rPr>
          <w:rStyle w:val="FootnoteReference"/>
          <w:lang w:val="bg-BG"/>
        </w:rPr>
        <w:footnoteReference w:id="21"/>
      </w:r>
      <w:r w:rsidR="00614A47">
        <w:rPr>
          <w:lang w:val="en-US"/>
        </w:rPr>
        <w:t xml:space="preserve"> </w:t>
      </w:r>
      <w:r w:rsidR="00132702">
        <w:t>where the homeless are</w:t>
      </w:r>
      <w:r w:rsidR="00614A47">
        <w:t xml:space="preserve"> </w:t>
      </w:r>
      <w:r w:rsidR="00614A47" w:rsidRPr="00FE3E44">
        <w:t xml:space="preserve">persons who </w:t>
      </w:r>
      <w:r w:rsidR="00614A47" w:rsidRPr="00FE3E44">
        <w:rPr>
          <w:rStyle w:val="tlid-translation"/>
          <w:lang w:val="en"/>
        </w:rPr>
        <w:t xml:space="preserve">have no ownership or co-ownership of </w:t>
      </w:r>
      <w:r w:rsidR="00614A47" w:rsidRPr="00FE3E44">
        <w:t xml:space="preserve">a residential property and have been left without shelter due to </w:t>
      </w:r>
      <w:r w:rsidR="007454F6">
        <w:rPr>
          <w:lang w:val="en-US"/>
        </w:rPr>
        <w:t>unforeseen</w:t>
      </w:r>
      <w:r w:rsidR="007454F6" w:rsidRPr="00FE3E44">
        <w:t xml:space="preserve"> </w:t>
      </w:r>
      <w:r w:rsidR="00614A47" w:rsidRPr="00FE3E44">
        <w:t>circumstances</w:t>
      </w:r>
      <w:r w:rsidR="007454F6">
        <w:rPr>
          <w:lang w:val="bg-BG"/>
        </w:rPr>
        <w:t xml:space="preserve"> </w:t>
      </w:r>
      <w:r w:rsidR="007454F6">
        <w:rPr>
          <w:lang w:val="en-US"/>
        </w:rPr>
        <w:t xml:space="preserve">(e.g. accidents, but also </w:t>
      </w:r>
      <w:r w:rsidR="00CB7A85">
        <w:rPr>
          <w:lang w:val="en-US"/>
        </w:rPr>
        <w:t>various housing damage</w:t>
      </w:r>
      <w:r w:rsidR="007454F6">
        <w:rPr>
          <w:lang w:val="en-US"/>
        </w:rPr>
        <w:t>)</w:t>
      </w:r>
      <w:r w:rsidR="00614A47" w:rsidRPr="00FE3E44">
        <w:t>, as well as</w:t>
      </w:r>
      <w:r w:rsidR="00132702">
        <w:t>, importantly,</w:t>
      </w:r>
      <w:r w:rsidR="00614A47" w:rsidRPr="00FE3E44">
        <w:t xml:space="preserve"> persons who have chosen homelessness as a way of life</w:t>
      </w:r>
      <w:r w:rsidR="00614A47">
        <w:rPr>
          <w:lang w:val="bg-BG"/>
        </w:rPr>
        <w:t>.</w:t>
      </w:r>
    </w:p>
    <w:p w14:paraId="0BA811A9" w14:textId="2F441924" w:rsidR="00614A47" w:rsidRDefault="00614A47" w:rsidP="0032208C">
      <w:pPr>
        <w:pStyle w:val="FRABodyText"/>
        <w:rPr>
          <w:lang w:val="en-US"/>
        </w:rPr>
      </w:pPr>
    </w:p>
    <w:p w14:paraId="628546F4" w14:textId="0FE32B55" w:rsidR="00833C5D" w:rsidRDefault="00833C5D" w:rsidP="003C7AA9">
      <w:pPr>
        <w:pStyle w:val="FRABodyText"/>
        <w:rPr>
          <w:color w:val="000000"/>
        </w:rPr>
      </w:pPr>
      <w:r>
        <w:t>T</w:t>
      </w:r>
      <w:r w:rsidRPr="00756910">
        <w:t>he Operational Programme "Regions in growth"</w:t>
      </w:r>
      <w:r w:rsidRPr="00132702">
        <w:rPr>
          <w:rStyle w:val="FootnoteReference"/>
          <w:iCs/>
          <w:color w:val="000000"/>
        </w:rPr>
        <w:footnoteReference w:id="22"/>
      </w:r>
      <w:r>
        <w:rPr>
          <w:i/>
          <w:color w:val="000000"/>
        </w:rPr>
        <w:t xml:space="preserve"> </w:t>
      </w:r>
      <w:r>
        <w:rPr>
          <w:color w:val="000000"/>
        </w:rPr>
        <w:t xml:space="preserve">provides the following policy description/definition of the group of </w:t>
      </w:r>
      <w:r w:rsidR="00132702">
        <w:rPr>
          <w:color w:val="000000"/>
        </w:rPr>
        <w:t xml:space="preserve">the </w:t>
      </w:r>
      <w:r>
        <w:rPr>
          <w:color w:val="000000"/>
        </w:rPr>
        <w:t>homeless and people living in precarious conditions</w:t>
      </w:r>
      <w:r w:rsidR="00CB7A85">
        <w:rPr>
          <w:color w:val="000000"/>
        </w:rPr>
        <w:t xml:space="preserve">, the latter </w:t>
      </w:r>
      <w:r w:rsidR="003A2974">
        <w:rPr>
          <w:color w:val="000000"/>
        </w:rPr>
        <w:t>seemingly having a ‘home’, which is below usual housing standards</w:t>
      </w:r>
      <w:r>
        <w:rPr>
          <w:color w:val="000000"/>
        </w:rPr>
        <w:t xml:space="preserve">: </w:t>
      </w:r>
      <w:r w:rsidRPr="008F7164">
        <w:rPr>
          <w:color w:val="000000"/>
        </w:rPr>
        <w:t>persons who do not own</w:t>
      </w:r>
      <w:r w:rsidR="00691D17">
        <w:rPr>
          <w:color w:val="000000"/>
        </w:rPr>
        <w:t>/use for free</w:t>
      </w:r>
      <w:r w:rsidRPr="008F7164">
        <w:rPr>
          <w:color w:val="000000"/>
        </w:rPr>
        <w:t xml:space="preserve"> a home</w:t>
      </w:r>
      <w:r w:rsidR="002D7742">
        <w:rPr>
          <w:color w:val="000000"/>
        </w:rPr>
        <w:t>, or</w:t>
      </w:r>
      <w:r w:rsidRPr="008F7164">
        <w:rPr>
          <w:color w:val="000000"/>
        </w:rPr>
        <w:t xml:space="preserve"> movable or immovable property</w:t>
      </w:r>
      <w:r>
        <w:rPr>
          <w:color w:val="000000"/>
        </w:rPr>
        <w:t xml:space="preserve"> or parts thereof</w:t>
      </w:r>
      <w:r w:rsidRPr="008F7164">
        <w:rPr>
          <w:color w:val="000000"/>
        </w:rPr>
        <w:t>, which can be a source of income, not accommodated in a specialized institution and at the same time meeting at least one of the following conditions:</w:t>
      </w:r>
      <w:r>
        <w:rPr>
          <w:color w:val="000000"/>
        </w:rPr>
        <w:t xml:space="preserve"> living</w:t>
      </w:r>
      <w:r w:rsidRPr="008F7164">
        <w:rPr>
          <w:color w:val="000000"/>
        </w:rPr>
        <w:t xml:space="preserve"> on the street or in public, without shelter;</w:t>
      </w:r>
      <w:r w:rsidR="003C7AA9">
        <w:rPr>
          <w:color w:val="000000"/>
        </w:rPr>
        <w:t xml:space="preserve"> not having a</w:t>
      </w:r>
      <w:r w:rsidRPr="008F7164">
        <w:rPr>
          <w:color w:val="000000"/>
        </w:rPr>
        <w:t xml:space="preserve"> usual place of residence</w:t>
      </w:r>
      <w:r w:rsidR="003C7AA9">
        <w:rPr>
          <w:color w:val="000000"/>
        </w:rPr>
        <w:t xml:space="preserve"> and using</w:t>
      </w:r>
      <w:r w:rsidRPr="008F7164">
        <w:rPr>
          <w:color w:val="000000"/>
        </w:rPr>
        <w:t xml:space="preserve"> shelters or other temporary accommodation services;</w:t>
      </w:r>
      <w:r w:rsidR="003C7AA9">
        <w:rPr>
          <w:color w:val="000000"/>
        </w:rPr>
        <w:t xml:space="preserve"> occupying</w:t>
      </w:r>
      <w:r w:rsidRPr="008F7164">
        <w:rPr>
          <w:color w:val="000000"/>
        </w:rPr>
        <w:t xml:space="preserve"> a home that does not meet the statutory standards for housing and design;</w:t>
      </w:r>
      <w:r w:rsidR="003C7AA9">
        <w:rPr>
          <w:color w:val="000000"/>
        </w:rPr>
        <w:t xml:space="preserve"> occupying</w:t>
      </w:r>
      <w:r w:rsidRPr="008F7164">
        <w:rPr>
          <w:color w:val="000000"/>
        </w:rPr>
        <w:t xml:space="preserve"> a dwelling that is not electrified or has no access to drinking water or sewage</w:t>
      </w:r>
      <w:r w:rsidR="003C7AA9">
        <w:rPr>
          <w:color w:val="000000"/>
        </w:rPr>
        <w:t>;</w:t>
      </w:r>
      <w:r w:rsidR="00A73CDD">
        <w:rPr>
          <w:color w:val="000000"/>
        </w:rPr>
        <w:t xml:space="preserve"> </w:t>
      </w:r>
      <w:r w:rsidR="003C7AA9">
        <w:rPr>
          <w:color w:val="000000"/>
        </w:rPr>
        <w:t>living</w:t>
      </w:r>
      <w:r w:rsidRPr="008F7164">
        <w:rPr>
          <w:color w:val="000000"/>
        </w:rPr>
        <w:t xml:space="preserve"> in overcrowded housing</w:t>
      </w:r>
      <w:r w:rsidR="003C7AA9">
        <w:rPr>
          <w:color w:val="000000"/>
        </w:rPr>
        <w:t>.</w:t>
      </w:r>
    </w:p>
    <w:p w14:paraId="0D9E8832" w14:textId="77777777" w:rsidR="00833C5D" w:rsidRDefault="00833C5D" w:rsidP="00833C5D">
      <w:pPr>
        <w:pStyle w:val="FRABodyText"/>
        <w:rPr>
          <w:lang w:val="en-US"/>
        </w:rPr>
      </w:pPr>
    </w:p>
    <w:p w14:paraId="117BEE70" w14:textId="107B079D" w:rsidR="00F106E0" w:rsidRPr="00F106E0" w:rsidRDefault="00583124" w:rsidP="0032208C">
      <w:pPr>
        <w:pStyle w:val="FRABodyText"/>
        <w:rPr>
          <w:highlight w:val="yellow"/>
        </w:rPr>
      </w:pPr>
      <w:r w:rsidRPr="00097B37">
        <w:t xml:space="preserve">In the absence of </w:t>
      </w:r>
      <w:r w:rsidR="00097B37" w:rsidRPr="00097B37">
        <w:t>a more comprehensive</w:t>
      </w:r>
      <w:r w:rsidRPr="00097B37">
        <w:t xml:space="preserve"> definition,</w:t>
      </w:r>
      <w:r w:rsidR="00097B37" w:rsidRPr="00097B37">
        <w:t xml:space="preserve"> </w:t>
      </w:r>
      <w:r w:rsidR="00F106E0" w:rsidRPr="00097B37">
        <w:t>the following criteria will be used</w:t>
      </w:r>
      <w:r w:rsidR="00097B37" w:rsidRPr="00097B37">
        <w:t xml:space="preserve"> to delimit the group</w:t>
      </w:r>
      <w:r w:rsidR="00F106E0" w:rsidRPr="00097B37">
        <w:t>: (1) people living in transitionary housing or shelters, (2) people living in remote areas with limited access to basic infrastructure</w:t>
      </w:r>
      <w:r w:rsidR="003A2974">
        <w:t xml:space="preserve"> like electricity, heating or water</w:t>
      </w:r>
      <w:r w:rsidR="00F106E0" w:rsidRPr="00097B37">
        <w:t>, and (3) people living in housing with limited or absent basic amenities (running water, electricity, means of sanitation, lack of heating, etc.).</w:t>
      </w:r>
      <w:r w:rsidR="00614A47" w:rsidRPr="00614A47">
        <w:t xml:space="preserve"> An important additional factor may be the person’s own will to live in such housing</w:t>
      </w:r>
      <w:r w:rsidR="003A2974">
        <w:t>, as opposed to those in a bad economic situation, making them live in such conditions</w:t>
      </w:r>
      <w:r w:rsidR="00A50AFF">
        <w:t xml:space="preserve"> against their will</w:t>
      </w:r>
      <w:r w:rsidR="00614A47" w:rsidRPr="00614A47">
        <w:t xml:space="preserve">. </w:t>
      </w:r>
    </w:p>
    <w:p w14:paraId="3811974A" w14:textId="77777777" w:rsidR="00614A47" w:rsidRDefault="00614A47" w:rsidP="0032208C">
      <w:pPr>
        <w:pStyle w:val="FRABodyText"/>
        <w:rPr>
          <w:highlight w:val="yellow"/>
        </w:rPr>
      </w:pPr>
    </w:p>
    <w:p w14:paraId="1DE25721" w14:textId="77777777" w:rsidR="00F106E0" w:rsidRPr="00F106E0" w:rsidRDefault="00F106E0" w:rsidP="008E576F">
      <w:pPr>
        <w:numPr>
          <w:ilvl w:val="0"/>
          <w:numId w:val="3"/>
        </w:numPr>
        <w:spacing w:line="276" w:lineRule="auto"/>
        <w:rPr>
          <w:b/>
        </w:rPr>
      </w:pPr>
      <w:r w:rsidRPr="00F106E0">
        <w:rPr>
          <w:b/>
        </w:rPr>
        <w:lastRenderedPageBreak/>
        <w:t xml:space="preserve">Third-Country Nationals </w:t>
      </w:r>
    </w:p>
    <w:p w14:paraId="7ADC6C14" w14:textId="3DA0B941" w:rsidR="00A764E6" w:rsidRDefault="00E6455F" w:rsidP="0032208C">
      <w:pPr>
        <w:pStyle w:val="FRABodyText"/>
        <w:rPr>
          <w:lang w:val="en-US"/>
        </w:rPr>
      </w:pPr>
      <w:r>
        <w:rPr>
          <w:lang w:val="en-US"/>
        </w:rPr>
        <w:t xml:space="preserve">The Constitution of the Republic of Bulgaria </w:t>
      </w:r>
      <w:r w:rsidRPr="008B2A9F">
        <w:rPr>
          <w:i/>
          <w:lang w:val="en-US"/>
        </w:rPr>
        <w:t>(</w:t>
      </w:r>
      <w:r w:rsidRPr="008B2A9F">
        <w:rPr>
          <w:i/>
          <w:lang w:val="bg-BG"/>
        </w:rPr>
        <w:t>Конституция на Република България</w:t>
      </w:r>
      <w:r w:rsidRPr="008B2A9F">
        <w:rPr>
          <w:i/>
          <w:lang w:val="en-US"/>
        </w:rPr>
        <w:t>)</w:t>
      </w:r>
      <w:r w:rsidRPr="00947F59">
        <w:rPr>
          <w:rStyle w:val="FootnoteReference"/>
          <w:lang w:val="en-US"/>
        </w:rPr>
        <w:footnoteReference w:id="23"/>
      </w:r>
      <w:r>
        <w:rPr>
          <w:lang w:val="en-US"/>
        </w:rPr>
        <w:t xml:space="preserve"> makes a scarce reference </w:t>
      </w:r>
      <w:r w:rsidR="00A975CE">
        <w:rPr>
          <w:lang w:val="en-US"/>
        </w:rPr>
        <w:t>of foreigners</w:t>
      </w:r>
      <w:r w:rsidR="00174DE5">
        <w:rPr>
          <w:lang w:val="en-US"/>
        </w:rPr>
        <w:t xml:space="preserve"> </w:t>
      </w:r>
      <w:r w:rsidR="00174DE5" w:rsidRPr="00174DE5">
        <w:rPr>
          <w:i/>
          <w:lang w:val="en-US"/>
        </w:rPr>
        <w:t>(</w:t>
      </w:r>
      <w:r w:rsidR="00174DE5" w:rsidRPr="00174DE5">
        <w:rPr>
          <w:i/>
          <w:lang w:val="bg-BG"/>
        </w:rPr>
        <w:t>чужденци</w:t>
      </w:r>
      <w:r w:rsidR="00174DE5" w:rsidRPr="00174DE5">
        <w:rPr>
          <w:i/>
          <w:lang w:val="en-US"/>
        </w:rPr>
        <w:t>)</w:t>
      </w:r>
      <w:r w:rsidR="00A975CE">
        <w:rPr>
          <w:lang w:val="en-US"/>
        </w:rPr>
        <w:t xml:space="preserve"> and, as </w:t>
      </w:r>
      <w:r w:rsidR="00174DE5">
        <w:rPr>
          <w:lang w:val="en-US"/>
        </w:rPr>
        <w:t>it was</w:t>
      </w:r>
      <w:r w:rsidR="00A975CE">
        <w:rPr>
          <w:lang w:val="en-US"/>
        </w:rPr>
        <w:t xml:space="preserve"> adopted before Bulgaria’s EU accession, </w:t>
      </w:r>
      <w:r w:rsidR="00174DE5">
        <w:rPr>
          <w:lang w:val="en-US"/>
        </w:rPr>
        <w:t>th</w:t>
      </w:r>
      <w:r w:rsidR="00927414">
        <w:rPr>
          <w:lang w:val="en-US"/>
        </w:rPr>
        <w:t>e</w:t>
      </w:r>
      <w:r w:rsidR="00174DE5">
        <w:rPr>
          <w:lang w:val="en-US"/>
        </w:rPr>
        <w:t xml:space="preserve"> category presumably covers also EU nationals, i.e. </w:t>
      </w:r>
      <w:r w:rsidR="00927414">
        <w:rPr>
          <w:lang w:val="en-US"/>
        </w:rPr>
        <w:t>any</w:t>
      </w:r>
      <w:r w:rsidR="00174DE5">
        <w:rPr>
          <w:lang w:val="en-US"/>
        </w:rPr>
        <w:t xml:space="preserve">body who does not have Bulgarian nationality. </w:t>
      </w:r>
      <w:r w:rsidR="00927414">
        <w:rPr>
          <w:lang w:val="en-US"/>
        </w:rPr>
        <w:t>Foreigners</w:t>
      </w:r>
      <w:r w:rsidR="00763C90">
        <w:rPr>
          <w:i/>
          <w:lang w:val="bg-BG"/>
        </w:rPr>
        <w:t xml:space="preserve"> </w:t>
      </w:r>
      <w:r w:rsidR="00763C90">
        <w:rPr>
          <w:lang w:val="en-US"/>
        </w:rPr>
        <w:t>residing in the Republic of Bulgaria have all rights and obligations under the Constitution except those for which Bulgarian citizenship</w:t>
      </w:r>
      <w:r w:rsidR="00A243C7">
        <w:rPr>
          <w:lang w:val="en-US"/>
        </w:rPr>
        <w:t xml:space="preserve"> is required</w:t>
      </w:r>
      <w:r w:rsidR="00763C90">
        <w:rPr>
          <w:lang w:val="en-US"/>
        </w:rPr>
        <w:t>. Foreigners residing on a lawful basis cannot be expelled</w:t>
      </w:r>
      <w:r w:rsidR="00A243C7">
        <w:rPr>
          <w:lang w:val="en-US"/>
        </w:rPr>
        <w:t>/</w:t>
      </w:r>
      <w:r w:rsidR="000A7316">
        <w:rPr>
          <w:lang w:val="en-US"/>
        </w:rPr>
        <w:t xml:space="preserve">transferred to another state against their will except </w:t>
      </w:r>
      <w:r w:rsidR="00A243C7">
        <w:rPr>
          <w:lang w:val="en-US"/>
        </w:rPr>
        <w:t xml:space="preserve">in cases </w:t>
      </w:r>
      <w:r w:rsidR="000A7316">
        <w:rPr>
          <w:lang w:val="en-US"/>
        </w:rPr>
        <w:t>regulated by law. Bulgaria gives asylum to foreigners persecuted due to their convictions or for protecting internationally recognised rights and freedoms.</w:t>
      </w:r>
      <w:r w:rsidR="00F560E2">
        <w:rPr>
          <w:lang w:val="en-US"/>
        </w:rPr>
        <w:t xml:space="preserve"> </w:t>
      </w:r>
    </w:p>
    <w:p w14:paraId="13FA5A59" w14:textId="77777777" w:rsidR="00A764E6" w:rsidRDefault="00A764E6" w:rsidP="0032208C">
      <w:pPr>
        <w:pStyle w:val="FRABodyText"/>
        <w:rPr>
          <w:lang w:val="en-US"/>
        </w:rPr>
      </w:pPr>
    </w:p>
    <w:p w14:paraId="48B390FF" w14:textId="1930C68D" w:rsidR="00B42B71" w:rsidRDefault="00827ABB" w:rsidP="0032208C">
      <w:pPr>
        <w:pStyle w:val="FRABodyText"/>
        <w:rPr>
          <w:lang w:val="en-US"/>
        </w:rPr>
      </w:pPr>
      <w:r>
        <w:rPr>
          <w:lang w:val="en-US"/>
        </w:rPr>
        <w:t>The Asylum and Refugees Act</w:t>
      </w:r>
      <w:r w:rsidR="006E081A">
        <w:rPr>
          <w:lang w:val="bg-BG"/>
        </w:rPr>
        <w:t xml:space="preserve"> </w:t>
      </w:r>
      <w:r w:rsidR="006E081A" w:rsidRPr="006E081A">
        <w:rPr>
          <w:i/>
          <w:lang w:val="bg-BG"/>
        </w:rPr>
        <w:t>(Закон за убежището и бежанците)</w:t>
      </w:r>
      <w:r w:rsidR="006E081A">
        <w:rPr>
          <w:rStyle w:val="FootnoteReference"/>
          <w:i/>
          <w:lang w:val="bg-BG"/>
        </w:rPr>
        <w:footnoteReference w:id="24"/>
      </w:r>
      <w:r w:rsidR="00234A17">
        <w:rPr>
          <w:i/>
          <w:lang w:val="en-US"/>
        </w:rPr>
        <w:t xml:space="preserve"> </w:t>
      </w:r>
      <w:r w:rsidR="00234A17">
        <w:rPr>
          <w:lang w:val="en-US"/>
        </w:rPr>
        <w:t>defines</w:t>
      </w:r>
      <w:r w:rsidR="00B42B71">
        <w:rPr>
          <w:lang w:val="en-US"/>
        </w:rPr>
        <w:t xml:space="preserve"> </w:t>
      </w:r>
      <w:r w:rsidR="00191BC5">
        <w:rPr>
          <w:lang w:val="en-US"/>
        </w:rPr>
        <w:t>international protection, consisting of refugee and humanitarian status, and temporary protection</w:t>
      </w:r>
      <w:r w:rsidR="00B42B71">
        <w:rPr>
          <w:lang w:val="en-US"/>
        </w:rPr>
        <w:t>,</w:t>
      </w:r>
      <w:r w:rsidR="00924609">
        <w:rPr>
          <w:lang w:val="en-US"/>
        </w:rPr>
        <w:t xml:space="preserve"> and offers a</w:t>
      </w:r>
      <w:r w:rsidR="0085647E">
        <w:rPr>
          <w:lang w:val="en-US"/>
        </w:rPr>
        <w:t xml:space="preserve">n overall definition of </w:t>
      </w:r>
      <w:r w:rsidR="00B42B71">
        <w:rPr>
          <w:lang w:val="en-US"/>
        </w:rPr>
        <w:t>foreigner</w:t>
      </w:r>
      <w:r w:rsidR="0085647E">
        <w:rPr>
          <w:lang w:val="en-US"/>
        </w:rPr>
        <w:t>: any person who is not a Bulgarian citizen, or a citizen of another EU Member State, or of another EEA state or Switzerland, as well as a person who cannot be seen as citizen of any state</w:t>
      </w:r>
      <w:r w:rsidR="0085647E" w:rsidRPr="0085647E">
        <w:rPr>
          <w:lang w:val="en-US"/>
        </w:rPr>
        <w:t>.</w:t>
      </w:r>
      <w:r w:rsidR="003B3015">
        <w:rPr>
          <w:lang w:val="en-US"/>
        </w:rPr>
        <w:t xml:space="preserve"> </w:t>
      </w:r>
      <w:r>
        <w:rPr>
          <w:lang w:val="en-US"/>
        </w:rPr>
        <w:t xml:space="preserve">The Foreigners in </w:t>
      </w:r>
      <w:r w:rsidR="00A764E6">
        <w:rPr>
          <w:lang w:val="en-US"/>
        </w:rPr>
        <w:t xml:space="preserve">the Republic of </w:t>
      </w:r>
      <w:r>
        <w:rPr>
          <w:lang w:val="en-US"/>
        </w:rPr>
        <w:t>Bulgaria Act</w:t>
      </w:r>
      <w:r w:rsidR="00A764E6">
        <w:rPr>
          <w:lang w:val="en-US"/>
        </w:rPr>
        <w:t xml:space="preserve"> </w:t>
      </w:r>
      <w:r w:rsidR="00A764E6" w:rsidRPr="00A764E6">
        <w:rPr>
          <w:i/>
          <w:lang w:val="en-US"/>
        </w:rPr>
        <w:t>(</w:t>
      </w:r>
      <w:r w:rsidR="00A764E6" w:rsidRPr="00A764E6">
        <w:rPr>
          <w:i/>
          <w:lang w:val="bg-BG"/>
        </w:rPr>
        <w:t>Закон за чужденците в Република България</w:t>
      </w:r>
      <w:r w:rsidR="00A764E6" w:rsidRPr="00A764E6">
        <w:rPr>
          <w:i/>
          <w:lang w:val="en-US"/>
        </w:rPr>
        <w:t>)</w:t>
      </w:r>
      <w:r w:rsidR="00A764E6">
        <w:rPr>
          <w:rStyle w:val="FootnoteReference"/>
          <w:i/>
          <w:lang w:val="en-US"/>
        </w:rPr>
        <w:footnoteReference w:id="25"/>
      </w:r>
      <w:r>
        <w:rPr>
          <w:lang w:val="en-US"/>
        </w:rPr>
        <w:t xml:space="preserve"> </w:t>
      </w:r>
      <w:r w:rsidR="00A764E6">
        <w:rPr>
          <w:lang w:val="en-US"/>
        </w:rPr>
        <w:t xml:space="preserve">gives a broader definition of foreigner as ‘any person who is not a Bulgarian citizen’, but expressly </w:t>
      </w:r>
      <w:r w:rsidR="00504FC6">
        <w:rPr>
          <w:lang w:val="en-US"/>
        </w:rPr>
        <w:t>excludes</w:t>
      </w:r>
      <w:r w:rsidR="00A764E6">
        <w:rPr>
          <w:lang w:val="en-US"/>
        </w:rPr>
        <w:t xml:space="preserve"> EU, EEA and Swiss citizens </w:t>
      </w:r>
      <w:r w:rsidR="00504FC6">
        <w:rPr>
          <w:lang w:val="en-US"/>
        </w:rPr>
        <w:t>as</w:t>
      </w:r>
      <w:r w:rsidR="00A764E6">
        <w:rPr>
          <w:lang w:val="en-US"/>
        </w:rPr>
        <w:t xml:space="preserve"> subject of other legislation. </w:t>
      </w:r>
      <w:r w:rsidR="003B3015">
        <w:rPr>
          <w:lang w:val="en-US"/>
        </w:rPr>
        <w:t>Thus, the lead criterion for defining third-country nationals is their lack of Bulgarian, but also EU, EEA or Swiss citizenship.</w:t>
      </w:r>
      <w:r w:rsidR="00006D0F">
        <w:rPr>
          <w:lang w:val="en-US"/>
        </w:rPr>
        <w:t xml:space="preserve"> For the purposes of the present report, it will include persons seeking and having received international protection (asylum seekers and refugees) and other migrants in an irregular or regular situation. </w:t>
      </w:r>
      <w:r w:rsidR="00EE329E">
        <w:rPr>
          <w:lang w:val="en-US"/>
        </w:rPr>
        <w:t xml:space="preserve">TCN family members of EU nationals are a relatively small group and no significant vulnerabilities are encountered </w:t>
      </w:r>
      <w:r w:rsidR="001F5EF0">
        <w:rPr>
          <w:lang w:val="en-US"/>
        </w:rPr>
        <w:t xml:space="preserve">with regard to them </w:t>
      </w:r>
      <w:r w:rsidR="00E37613">
        <w:rPr>
          <w:lang w:val="en-US"/>
        </w:rPr>
        <w:t>apart from administrative difficulties in regulari</w:t>
      </w:r>
      <w:r w:rsidR="0029348B">
        <w:rPr>
          <w:lang w:val="en-US"/>
        </w:rPr>
        <w:t>s</w:t>
      </w:r>
      <w:r w:rsidR="00E37613">
        <w:rPr>
          <w:lang w:val="en-US"/>
        </w:rPr>
        <w:t xml:space="preserve">ing their stay. </w:t>
      </w:r>
      <w:r w:rsidR="00EE329E">
        <w:rPr>
          <w:lang w:val="en-US"/>
        </w:rPr>
        <w:t xml:space="preserve"> </w:t>
      </w:r>
    </w:p>
    <w:p w14:paraId="575AA583" w14:textId="6CEC84E7" w:rsidR="00A764E6" w:rsidRDefault="003B3015" w:rsidP="0032208C">
      <w:pPr>
        <w:pStyle w:val="FRABodyText"/>
        <w:rPr>
          <w:lang w:val="en-US"/>
        </w:rPr>
      </w:pPr>
      <w:r>
        <w:rPr>
          <w:lang w:val="en-US"/>
        </w:rPr>
        <w:t xml:space="preserve"> </w:t>
      </w:r>
    </w:p>
    <w:p w14:paraId="773635F1" w14:textId="77777777" w:rsidR="00F106E0" w:rsidRPr="00F106E0" w:rsidRDefault="00F106E0" w:rsidP="008E576F">
      <w:pPr>
        <w:numPr>
          <w:ilvl w:val="0"/>
          <w:numId w:val="3"/>
        </w:numPr>
        <w:spacing w:line="276" w:lineRule="auto"/>
        <w:rPr>
          <w:b/>
        </w:rPr>
      </w:pPr>
      <w:r w:rsidRPr="00F106E0">
        <w:rPr>
          <w:b/>
        </w:rPr>
        <w:t>Emigrant Household Members</w:t>
      </w:r>
    </w:p>
    <w:p w14:paraId="1BC7F5C8" w14:textId="28623877" w:rsidR="00A6559C" w:rsidRPr="00A6559C" w:rsidRDefault="00090C53" w:rsidP="0032208C">
      <w:pPr>
        <w:pStyle w:val="FRABodyText"/>
        <w:rPr>
          <w:lang w:val="en-US"/>
        </w:rPr>
      </w:pPr>
      <w:r w:rsidRPr="00A6559C">
        <w:t xml:space="preserve">Emigrant </w:t>
      </w:r>
      <w:r w:rsidR="008C2DB3" w:rsidRPr="00A6559C">
        <w:t xml:space="preserve">household members, as such, </w:t>
      </w:r>
      <w:r w:rsidR="008C2DB3" w:rsidRPr="00A6559C">
        <w:rPr>
          <w:lang w:val="en-US"/>
        </w:rPr>
        <w:t xml:space="preserve">are not defined in Bulgarian legislation. </w:t>
      </w:r>
      <w:r w:rsidR="00A6559C" w:rsidRPr="00A6559C">
        <w:rPr>
          <w:lang w:val="en-US"/>
        </w:rPr>
        <w:t xml:space="preserve">A composite definition can be derived from: </w:t>
      </w:r>
    </w:p>
    <w:p w14:paraId="08F8DD86" w14:textId="670EF4D4" w:rsidR="006961D2" w:rsidRDefault="001616D4" w:rsidP="008E576F">
      <w:pPr>
        <w:pStyle w:val="FRABodyText"/>
        <w:numPr>
          <w:ilvl w:val="0"/>
          <w:numId w:val="8"/>
        </w:numPr>
        <w:rPr>
          <w:lang w:val="en-US"/>
        </w:rPr>
      </w:pPr>
      <w:r>
        <w:rPr>
          <w:lang w:val="en-US"/>
        </w:rPr>
        <w:t>the definition of Bulgarians living outside of Bulgaria:</w:t>
      </w:r>
      <w:r>
        <w:rPr>
          <w:rStyle w:val="FootnoteReference"/>
          <w:lang w:val="en-US"/>
        </w:rPr>
        <w:footnoteReference w:id="26"/>
      </w:r>
      <w:r>
        <w:rPr>
          <w:lang w:val="en-US"/>
        </w:rPr>
        <w:t xml:space="preserve"> </w:t>
      </w:r>
      <w:r w:rsidR="006961D2">
        <w:rPr>
          <w:lang w:val="en-US"/>
        </w:rPr>
        <w:t xml:space="preserve">having at least one ascendant of Bulgarian origin, having Bulgarian national identity and living long-term or permanently on the territory of another state, and </w:t>
      </w:r>
    </w:p>
    <w:p w14:paraId="2A63C83E" w14:textId="08BFD26F" w:rsidR="0032208C" w:rsidRDefault="00504FC6" w:rsidP="008E576F">
      <w:pPr>
        <w:pStyle w:val="FRABodyText"/>
        <w:numPr>
          <w:ilvl w:val="0"/>
          <w:numId w:val="8"/>
        </w:numPr>
      </w:pPr>
      <w:r>
        <w:t xml:space="preserve">the Family Code </w:t>
      </w:r>
      <w:r w:rsidRPr="0032208C">
        <w:rPr>
          <w:i/>
        </w:rPr>
        <w:t>(</w:t>
      </w:r>
      <w:r w:rsidRPr="0032208C">
        <w:rPr>
          <w:i/>
          <w:lang w:val="bg-BG"/>
        </w:rPr>
        <w:t>Семеен кодекс</w:t>
      </w:r>
      <w:r w:rsidRPr="0032208C">
        <w:rPr>
          <w:i/>
        </w:rPr>
        <w:t>)</w:t>
      </w:r>
      <w:r>
        <w:rPr>
          <w:i/>
        </w:rPr>
        <w:t>,</w:t>
      </w:r>
      <w:r w:rsidRPr="00504FC6">
        <w:rPr>
          <w:rStyle w:val="FootnoteReference"/>
          <w:iCs/>
        </w:rPr>
        <w:footnoteReference w:id="27"/>
      </w:r>
      <w:r>
        <w:t xml:space="preserve"> defining</w:t>
      </w:r>
      <w:r w:rsidR="006961D2">
        <w:t xml:space="preserve"> relatives in the ascending and descending line</w:t>
      </w:r>
      <w:r w:rsidR="0032208C">
        <w:t xml:space="preserve"> </w:t>
      </w:r>
      <w:r>
        <w:t>and regulating</w:t>
      </w:r>
      <w:r w:rsidR="0032208C">
        <w:t xml:space="preserve"> alimony/dependency: </w:t>
      </w:r>
      <w:r w:rsidR="004E0FF4">
        <w:rPr>
          <w:lang w:val="en-US"/>
        </w:rPr>
        <w:t xml:space="preserve">alimony is given to a person </w:t>
      </w:r>
      <w:r w:rsidR="00A36F64">
        <w:rPr>
          <w:lang w:val="en-US"/>
        </w:rPr>
        <w:t>who cannot work and cannot sustain himself/herself from his/her property; alimony is provided to several groups of dependants: children and spouse, parents, former spouse, grandchildren, siblings, grandparents</w:t>
      </w:r>
      <w:r w:rsidR="00390367">
        <w:rPr>
          <w:lang w:val="en-US"/>
        </w:rPr>
        <w:t>;</w:t>
      </w:r>
      <w:r w:rsidR="00A36F64">
        <w:rPr>
          <w:lang w:val="en-US"/>
        </w:rPr>
        <w:t xml:space="preserve"> alimony is determined in accordance with the needs of the </w:t>
      </w:r>
      <w:r w:rsidR="00A36F64">
        <w:rPr>
          <w:lang w:val="en-US"/>
        </w:rPr>
        <w:lastRenderedPageBreak/>
        <w:t>dependent and the capacities of the person giving it; children are given alimony by parents until reaching 18 year of age and then up to 20 years of age if they study in secondary school</w:t>
      </w:r>
      <w:r w:rsidR="00390367">
        <w:rPr>
          <w:lang w:val="en-US"/>
        </w:rPr>
        <w:t xml:space="preserve">, or </w:t>
      </w:r>
      <w:r w:rsidR="00A36F64">
        <w:rPr>
          <w:lang w:val="en-US"/>
        </w:rPr>
        <w:t>25 years</w:t>
      </w:r>
      <w:r w:rsidR="00390367">
        <w:rPr>
          <w:lang w:val="en-US"/>
        </w:rPr>
        <w:t xml:space="preserve"> if </w:t>
      </w:r>
      <w:r w:rsidR="00A36F64">
        <w:rPr>
          <w:lang w:val="en-US"/>
        </w:rPr>
        <w:t xml:space="preserve">in University; </w:t>
      </w:r>
    </w:p>
    <w:p w14:paraId="52376E0B" w14:textId="77777777" w:rsidR="0032208C" w:rsidRDefault="0032208C" w:rsidP="0032208C">
      <w:pPr>
        <w:pStyle w:val="FRABodyText"/>
      </w:pPr>
    </w:p>
    <w:p w14:paraId="75C046FF" w14:textId="383A55D4" w:rsidR="00F106E0" w:rsidRPr="00A6559C" w:rsidRDefault="0032208C" w:rsidP="0032208C">
      <w:pPr>
        <w:pStyle w:val="FRABodyText"/>
      </w:pPr>
      <w:r>
        <w:t xml:space="preserve">Thus, the group of emigrant household members would include the </w:t>
      </w:r>
      <w:r w:rsidR="00F106E0" w:rsidRPr="00A6559C">
        <w:t>following sub-groups</w:t>
      </w:r>
      <w:r w:rsidR="0029348B">
        <w:t xml:space="preserve"> residing in Bulgaria</w:t>
      </w:r>
      <w:r w:rsidR="00F106E0" w:rsidRPr="00A6559C">
        <w:t xml:space="preserve">: (1) children of people emigrated from Bulgaria, and (2) dependent children and adults of people emigrated from Bulgaria. </w:t>
      </w:r>
    </w:p>
    <w:p w14:paraId="653981E4" w14:textId="77777777" w:rsidR="00F106E0" w:rsidRPr="00F106E0" w:rsidRDefault="00F106E0" w:rsidP="0032208C">
      <w:pPr>
        <w:pStyle w:val="FRABodyText"/>
      </w:pPr>
    </w:p>
    <w:p w14:paraId="591940D2" w14:textId="77777777" w:rsidR="00F106E0" w:rsidRPr="00F106E0" w:rsidRDefault="00F106E0" w:rsidP="008E576F">
      <w:pPr>
        <w:numPr>
          <w:ilvl w:val="0"/>
          <w:numId w:val="3"/>
        </w:numPr>
        <w:spacing w:line="276" w:lineRule="auto"/>
        <w:rPr>
          <w:b/>
        </w:rPr>
      </w:pPr>
      <w:r w:rsidRPr="00F106E0">
        <w:rPr>
          <w:b/>
        </w:rPr>
        <w:t xml:space="preserve">Victims of Domestic Violence </w:t>
      </w:r>
    </w:p>
    <w:p w14:paraId="062FE409" w14:textId="0B143A9D" w:rsidR="00E30B96" w:rsidRPr="00F034B5" w:rsidRDefault="00FC6C7D" w:rsidP="0032208C">
      <w:pPr>
        <w:pStyle w:val="FRABodyText"/>
      </w:pPr>
      <w:r w:rsidRPr="00FC6C7D">
        <w:rPr>
          <w:lang w:val="en-US"/>
        </w:rPr>
        <w:t>Victims of domestic violence</w:t>
      </w:r>
      <w:r>
        <w:rPr>
          <w:lang w:val="en-US"/>
        </w:rPr>
        <w:t xml:space="preserve"> are defined in Bulgaria’s special </w:t>
      </w:r>
      <w:r w:rsidR="002B25CD">
        <w:rPr>
          <w:lang w:val="en-US"/>
        </w:rPr>
        <w:t>Act</w:t>
      </w:r>
      <w:r>
        <w:rPr>
          <w:lang w:val="en-US"/>
        </w:rPr>
        <w:t xml:space="preserve"> on the matter</w:t>
      </w:r>
      <w:r>
        <w:rPr>
          <w:i/>
          <w:lang w:val="bg-BG"/>
        </w:rPr>
        <w:t>.</w:t>
      </w:r>
      <w:r w:rsidRPr="00FC6C7D">
        <w:rPr>
          <w:rStyle w:val="FootnoteReference"/>
        </w:rPr>
        <w:footnoteReference w:id="28"/>
      </w:r>
      <w:r w:rsidR="00E30B96">
        <w:rPr>
          <w:i/>
          <w:lang w:val="bg-BG"/>
        </w:rPr>
        <w:t xml:space="preserve"> </w:t>
      </w:r>
      <w:r w:rsidRPr="00E30B96">
        <w:rPr>
          <w:lang w:val="en-US"/>
        </w:rPr>
        <w:t>It</w:t>
      </w:r>
      <w:r w:rsidR="00F106E0" w:rsidRPr="00E30B96">
        <w:t xml:space="preserve"> use</w:t>
      </w:r>
      <w:r w:rsidRPr="00E30B96">
        <w:t>s</w:t>
      </w:r>
      <w:r w:rsidR="00F106E0" w:rsidRPr="00E30B96">
        <w:t xml:space="preserve"> the following criteria: (1) victim of any act of physical, sexual, mental, emotional or economic violence, coercive restriction of personal life, liberty and rights (2) perpetrator of the violence </w:t>
      </w:r>
      <w:r w:rsidR="002A6C14">
        <w:t>is</w:t>
      </w:r>
      <w:r w:rsidR="00F106E0" w:rsidRPr="00E30B96">
        <w:t xml:space="preserve"> related to, in a family relationship or de facto co-habitation with the victim: </w:t>
      </w:r>
      <w:r w:rsidR="002A6C14">
        <w:t xml:space="preserve">(former) </w:t>
      </w:r>
      <w:r w:rsidR="00F106E0" w:rsidRPr="00E30B96">
        <w:t xml:space="preserve">spouse, </w:t>
      </w:r>
      <w:r w:rsidR="002A6C14">
        <w:t>(former) co-habitant</w:t>
      </w:r>
      <w:r w:rsidR="00F106E0" w:rsidRPr="00E30B96">
        <w:t xml:space="preserve">, </w:t>
      </w:r>
      <w:r w:rsidR="00EA42D2">
        <w:t>father of</w:t>
      </w:r>
      <w:r w:rsidR="00F106E0" w:rsidRPr="00E30B96">
        <w:t xml:space="preserve"> the victim’s child, ascendant, descendant, person in a collateral relationship up to the fourth degree included, person related by marriage up to the third degree included, guardian, custodian or foster parent, ascendant or descendant of the</w:t>
      </w:r>
      <w:r w:rsidR="002A6C14">
        <w:t xml:space="preserve"> victim’s (former)</w:t>
      </w:r>
      <w:r w:rsidR="00F106E0" w:rsidRPr="00E30B96">
        <w:t xml:space="preserve"> </w:t>
      </w:r>
      <w:r w:rsidR="002A6C14">
        <w:t>co-habitant</w:t>
      </w:r>
      <w:r w:rsidR="00F106E0" w:rsidRPr="00E30B96">
        <w:t xml:space="preserve">, </w:t>
      </w:r>
      <w:r w:rsidR="002A6C14">
        <w:t>(former) co-habitant of the victim’s parent</w:t>
      </w:r>
      <w:r w:rsidR="00F106E0" w:rsidRPr="00E30B96">
        <w:t xml:space="preserve"> and/or (3) when domestic violence is committed in the presence of a child, that child shall also be considered a victim.</w:t>
      </w:r>
      <w:r w:rsidR="00BC4F6C">
        <w:rPr>
          <w:rStyle w:val="FootnoteReference"/>
        </w:rPr>
        <w:footnoteReference w:id="29"/>
      </w:r>
      <w:r w:rsidR="00F106E0" w:rsidRPr="00E30B96">
        <w:t xml:space="preserve"> </w:t>
      </w:r>
      <w:r w:rsidR="00433F0F">
        <w:rPr>
          <w:lang w:val="en-US"/>
        </w:rPr>
        <w:t xml:space="preserve">Recent amendments in the Criminal Code </w:t>
      </w:r>
      <w:r w:rsidR="00433F0F" w:rsidRPr="00433F0F">
        <w:rPr>
          <w:i/>
          <w:lang w:val="en-US"/>
        </w:rPr>
        <w:t>(</w:t>
      </w:r>
      <w:r w:rsidR="00433F0F" w:rsidRPr="00433F0F">
        <w:rPr>
          <w:i/>
          <w:lang w:val="bg-BG"/>
        </w:rPr>
        <w:t>Наказателен кодекс</w:t>
      </w:r>
      <w:r w:rsidR="00433F0F" w:rsidRPr="00433F0F">
        <w:rPr>
          <w:i/>
          <w:lang w:val="en-US"/>
        </w:rPr>
        <w:t>)</w:t>
      </w:r>
      <w:r w:rsidR="00F106E0" w:rsidRPr="00E30B96">
        <w:t xml:space="preserve"> </w:t>
      </w:r>
      <w:r w:rsidR="00433F0F">
        <w:t>criminalised</w:t>
      </w:r>
      <w:r w:rsidR="00805522">
        <w:rPr>
          <w:lang w:val="en-US"/>
        </w:rPr>
        <w:t>, in addition to violation</w:t>
      </w:r>
      <w:r w:rsidR="00390367">
        <w:rPr>
          <w:lang w:val="en-US"/>
        </w:rPr>
        <w:t>s</w:t>
      </w:r>
      <w:r w:rsidR="00805522">
        <w:rPr>
          <w:lang w:val="en-US"/>
        </w:rPr>
        <w:t xml:space="preserve"> of protection orders,</w:t>
      </w:r>
      <w:r w:rsidR="00433F0F">
        <w:t xml:space="preserve"> a number of violent </w:t>
      </w:r>
      <w:r w:rsidR="005F5B45">
        <w:t>acts</w:t>
      </w:r>
      <w:r w:rsidR="00433F0F">
        <w:t xml:space="preserve"> ‘in a situation of domestic violence’</w:t>
      </w:r>
      <w:r w:rsidR="00433F0F" w:rsidRPr="00433F0F">
        <w:rPr>
          <w:rStyle w:val="FootnoteReference"/>
          <w:lang w:val="en-US"/>
        </w:rPr>
        <w:footnoteReference w:id="30"/>
      </w:r>
      <w:r w:rsidR="00433F0F">
        <w:t xml:space="preserve"> </w:t>
      </w:r>
      <w:r w:rsidR="00433F0F" w:rsidRPr="00433F0F">
        <w:rPr>
          <w:i/>
        </w:rPr>
        <w:t>(в условията на домашно насилие)</w:t>
      </w:r>
      <w:r w:rsidR="00433F0F" w:rsidRPr="00433F0F">
        <w:t>,</w:t>
      </w:r>
      <w:r w:rsidR="00433F0F">
        <w:t xml:space="preserve"> defining it as </w:t>
      </w:r>
      <w:r w:rsidR="00433F0F">
        <w:rPr>
          <w:b/>
        </w:rPr>
        <w:t>systematic</w:t>
      </w:r>
      <w:r w:rsidR="004C2B89">
        <w:rPr>
          <w:b/>
          <w:lang w:val="bg-BG"/>
        </w:rPr>
        <w:t xml:space="preserve"> </w:t>
      </w:r>
      <w:r w:rsidR="004C2B89" w:rsidRPr="008E576F">
        <w:rPr>
          <w:lang w:val="bg-BG"/>
        </w:rPr>
        <w:t>(</w:t>
      </w:r>
      <w:r w:rsidR="004C2B89">
        <w:rPr>
          <w:lang w:val="en-US"/>
        </w:rPr>
        <w:t>usually at least three or more acts, showing a sustainable pattern in accordance with case-law</w:t>
      </w:r>
      <w:r w:rsidR="004C2B89" w:rsidRPr="008E576F">
        <w:rPr>
          <w:lang w:val="bg-BG"/>
        </w:rPr>
        <w:t>)</w:t>
      </w:r>
      <w:r w:rsidR="00433F0F">
        <w:rPr>
          <w:b/>
        </w:rPr>
        <w:t xml:space="preserve"> </w:t>
      </w:r>
      <w:r w:rsidR="00433F0F">
        <w:t>physical, sexual or mental violence, economic dependence, coercive restriction of personal life, personal freedom and personal rights, committed against a descendant, ascendant, spouse or former spouse, a person with whom the victim has a child, a person with whom the victim is or was in co-habitation, a person with whom the victim lives or lived in the same household</w:t>
      </w:r>
      <w:r w:rsidR="00433F0F" w:rsidRPr="00433F0F">
        <w:t>.</w:t>
      </w:r>
      <w:r w:rsidR="002D0D72">
        <w:t xml:space="preserve"> Thus, the two </w:t>
      </w:r>
      <w:r w:rsidR="005F5B45">
        <w:t>acts</w:t>
      </w:r>
      <w:r w:rsidR="002D0D72">
        <w:t xml:space="preserve"> offer a</w:t>
      </w:r>
      <w:r w:rsidR="00B63471">
        <w:t xml:space="preserve">s defining criteria the type of violence sustained as well as the relationship between victim and perpetrator. </w:t>
      </w:r>
    </w:p>
    <w:p w14:paraId="764BF2CD" w14:textId="77777777" w:rsidR="00E30B96" w:rsidRPr="00F106E0" w:rsidRDefault="00E30B96" w:rsidP="0032208C">
      <w:pPr>
        <w:pStyle w:val="FRABodyText"/>
      </w:pPr>
    </w:p>
    <w:p w14:paraId="7C3CFC32" w14:textId="77777777" w:rsidR="00F106E0" w:rsidRPr="00F106E0" w:rsidRDefault="00F106E0" w:rsidP="008E576F">
      <w:pPr>
        <w:numPr>
          <w:ilvl w:val="0"/>
          <w:numId w:val="3"/>
        </w:numPr>
        <w:spacing w:line="276" w:lineRule="auto"/>
        <w:rPr>
          <w:b/>
        </w:rPr>
      </w:pPr>
      <w:r w:rsidRPr="00F106E0">
        <w:rPr>
          <w:b/>
        </w:rPr>
        <w:t>LGBTQ+ Persons</w:t>
      </w:r>
    </w:p>
    <w:p w14:paraId="02FEDEC5" w14:textId="77777777" w:rsidR="002400CB" w:rsidRDefault="002400CB" w:rsidP="0032208C">
      <w:pPr>
        <w:pStyle w:val="FRABodyText"/>
        <w:rPr>
          <w:highlight w:val="yellow"/>
        </w:rPr>
      </w:pPr>
    </w:p>
    <w:p w14:paraId="06B4DAA0" w14:textId="67134827" w:rsidR="002400CB" w:rsidRDefault="002400CB" w:rsidP="0032208C">
      <w:pPr>
        <w:pStyle w:val="FRABodyText"/>
        <w:rPr>
          <w:lang w:val="en-US"/>
        </w:rPr>
      </w:pPr>
      <w:r w:rsidRPr="002400CB">
        <w:t xml:space="preserve">The LGBTQ+ </w:t>
      </w:r>
      <w:r w:rsidRPr="002400CB">
        <w:rPr>
          <w:lang w:val="en-US"/>
        </w:rPr>
        <w:t>persons</w:t>
      </w:r>
      <w:r>
        <w:rPr>
          <w:lang w:val="en-US"/>
        </w:rPr>
        <w:t xml:space="preserve"> do not have any legal definition</w:t>
      </w:r>
      <w:r w:rsidR="004C2B89">
        <w:rPr>
          <w:lang w:val="en-US"/>
        </w:rPr>
        <w:t>, while same sex marriages are expressly excluded by Bulgarian law (see below)</w:t>
      </w:r>
      <w:r>
        <w:rPr>
          <w:lang w:val="en-US"/>
        </w:rPr>
        <w:t xml:space="preserve">. </w:t>
      </w:r>
      <w:r w:rsidR="0079741A">
        <w:rPr>
          <w:lang w:val="en-US"/>
        </w:rPr>
        <w:t>In the absence of such, one can assume as leading operative criterion the self-identification of individuals as part of that community. A subsidiary criterion of particular importance for the situation in Bulgaria is the identification of persons as such by other members of the public due to various components of physical appearance.</w:t>
      </w:r>
      <w:r w:rsidR="0079741A">
        <w:rPr>
          <w:rStyle w:val="FootnoteReference"/>
          <w:lang w:val="en-US"/>
        </w:rPr>
        <w:footnoteReference w:id="31"/>
      </w:r>
    </w:p>
    <w:p w14:paraId="4AA402CC" w14:textId="679E7864" w:rsidR="00F106E0" w:rsidRPr="008E576F" w:rsidRDefault="00F106E0" w:rsidP="0032208C">
      <w:pPr>
        <w:pStyle w:val="FRABodyText"/>
        <w:rPr>
          <w:highlight w:val="yellow"/>
          <w:lang w:val="bg-BG"/>
        </w:rPr>
      </w:pPr>
      <w:r w:rsidRPr="00F106E0">
        <w:rPr>
          <w:highlight w:val="yellow"/>
        </w:rPr>
        <w:t xml:space="preserve"> </w:t>
      </w:r>
    </w:p>
    <w:p w14:paraId="76660EBC" w14:textId="77777777" w:rsidR="00F106E0" w:rsidRPr="00F106E0" w:rsidRDefault="00F106E0" w:rsidP="008E576F">
      <w:pPr>
        <w:numPr>
          <w:ilvl w:val="0"/>
          <w:numId w:val="3"/>
        </w:numPr>
        <w:spacing w:line="276" w:lineRule="auto"/>
        <w:rPr>
          <w:b/>
        </w:rPr>
      </w:pPr>
      <w:r w:rsidRPr="00F106E0">
        <w:rPr>
          <w:b/>
        </w:rPr>
        <w:t>Energy-poor Persons</w:t>
      </w:r>
    </w:p>
    <w:p w14:paraId="03688DB4" w14:textId="096320E1" w:rsidR="00ED69A4" w:rsidRPr="00ED69A4" w:rsidRDefault="00547F54" w:rsidP="0032208C">
      <w:pPr>
        <w:pStyle w:val="FRABodyText"/>
        <w:rPr>
          <w:highlight w:val="yellow"/>
          <w:lang w:val="bg-BG"/>
        </w:rPr>
      </w:pPr>
      <w:r>
        <w:rPr>
          <w:lang w:val="en-US"/>
        </w:rPr>
        <w:t>Experts maintain that there is neither definition, nor data on national level about the energy poor persons</w:t>
      </w:r>
      <w:r w:rsidR="00787731">
        <w:t>, as it should in principle</w:t>
      </w:r>
      <w:r w:rsidR="009C1194">
        <w:t xml:space="preserve"> include </w:t>
      </w:r>
      <w:r w:rsidR="00127953">
        <w:t>many different sectoral policies – economic aspects</w:t>
      </w:r>
      <w:r w:rsidR="005F5B45">
        <w:t>,</w:t>
      </w:r>
      <w:r w:rsidR="00127953">
        <w:t xml:space="preserve"> </w:t>
      </w:r>
      <w:r w:rsidR="00127953">
        <w:lastRenderedPageBreak/>
        <w:t>employment, housing aspects</w:t>
      </w:r>
      <w:r w:rsidR="00BA691D">
        <w:rPr>
          <w:lang w:val="en-US"/>
        </w:rPr>
        <w:t xml:space="preserve">, under different administrations </w:t>
      </w:r>
      <w:r w:rsidR="000B2213">
        <w:rPr>
          <w:lang w:val="en-US"/>
        </w:rPr>
        <w:t>which cannot reach agreement on the matter.</w:t>
      </w:r>
    </w:p>
    <w:p w14:paraId="55AD8400" w14:textId="77777777" w:rsidR="005605CA" w:rsidRDefault="005605CA" w:rsidP="0032208C">
      <w:pPr>
        <w:pStyle w:val="FRABodyText"/>
        <w:rPr>
          <w:highlight w:val="yellow"/>
        </w:rPr>
      </w:pPr>
    </w:p>
    <w:p w14:paraId="4F336AC0" w14:textId="4D5CABEC" w:rsidR="005605CA" w:rsidRPr="00C1042C" w:rsidRDefault="005605CA" w:rsidP="00C5620B">
      <w:pPr>
        <w:pStyle w:val="FRABodyText"/>
      </w:pPr>
      <w:r w:rsidRPr="000B2D87">
        <w:rPr>
          <w:rFonts w:eastAsiaTheme="minorHAnsi"/>
        </w:rPr>
        <w:t xml:space="preserve">Bulgarian legal system </w:t>
      </w:r>
      <w:r w:rsidRPr="000B2D87">
        <w:t xml:space="preserve">does not offer </w:t>
      </w:r>
      <w:r>
        <w:t xml:space="preserve">a </w:t>
      </w:r>
      <w:r w:rsidRPr="000B2D87">
        <w:t>definition for the group</w:t>
      </w:r>
      <w:r>
        <w:t xml:space="preserve">. </w:t>
      </w:r>
      <w:r>
        <w:rPr>
          <w:lang w:val="en"/>
        </w:rPr>
        <w:t>T</w:t>
      </w:r>
      <w:r w:rsidRPr="00B2180B">
        <w:rPr>
          <w:lang w:val="en"/>
        </w:rPr>
        <w:t xml:space="preserve">he Energy Act </w:t>
      </w:r>
      <w:r w:rsidR="00475C62">
        <w:rPr>
          <w:lang w:val="en"/>
        </w:rPr>
        <w:t>(</w:t>
      </w:r>
      <w:r w:rsidRPr="00C1042C">
        <w:rPr>
          <w:rFonts w:eastAsiaTheme="minorHAnsi"/>
          <w:i/>
          <w:lang w:val="bg-BG"/>
        </w:rPr>
        <w:t>Закон за енергетиката</w:t>
      </w:r>
      <w:r w:rsidRPr="00C1042C">
        <w:rPr>
          <w:rFonts w:eastAsiaTheme="minorHAnsi"/>
          <w:lang w:val="bg-BG"/>
        </w:rPr>
        <w:t>)</w:t>
      </w:r>
      <w:r>
        <w:rPr>
          <w:rStyle w:val="FootnoteReference"/>
          <w:lang w:val="en"/>
        </w:rPr>
        <w:footnoteReference w:id="32"/>
      </w:r>
      <w:r w:rsidR="005A0704">
        <w:rPr>
          <w:rFonts w:eastAsiaTheme="minorHAnsi"/>
          <w:lang w:val="en-US"/>
        </w:rPr>
        <w:t xml:space="preserve"> </w:t>
      </w:r>
      <w:r w:rsidR="005A0704">
        <w:t>defines</w:t>
      </w:r>
      <w:r>
        <w:t xml:space="preserve"> vulnerable customers</w:t>
      </w:r>
      <w:r w:rsidR="005A0704">
        <w:rPr>
          <w:lang w:val="en"/>
        </w:rPr>
        <w:t xml:space="preserve"> as</w:t>
      </w:r>
      <w:r>
        <w:rPr>
          <w:lang w:val="en"/>
        </w:rPr>
        <w:t xml:space="preserve"> </w:t>
      </w:r>
      <w:r w:rsidRPr="00B2180B">
        <w:rPr>
          <w:lang w:val="en"/>
        </w:rPr>
        <w:t xml:space="preserve">household customers who receive targeted benefits for electricity, heat or natural gas under the </w:t>
      </w:r>
      <w:r w:rsidR="00C5620B">
        <w:rPr>
          <w:lang w:val="en"/>
        </w:rPr>
        <w:t>social assistance legislation</w:t>
      </w:r>
      <w:r w:rsidRPr="00B2180B">
        <w:rPr>
          <w:lang w:val="en"/>
        </w:rPr>
        <w:t>.</w:t>
      </w:r>
      <w:r w:rsidR="00C5620B">
        <w:rPr>
          <w:lang w:val="en"/>
        </w:rPr>
        <w:t xml:space="preserve"> </w:t>
      </w:r>
      <w:r w:rsidRPr="00C1042C">
        <w:t xml:space="preserve">The </w:t>
      </w:r>
      <w:r w:rsidR="00C5620B">
        <w:t xml:space="preserve">Sofia-based </w:t>
      </w:r>
      <w:r w:rsidRPr="00C1042C">
        <w:t>Open Society</w:t>
      </w:r>
      <w:r w:rsidRPr="00C1042C">
        <w:rPr>
          <w:rStyle w:val="FootnoteReference"/>
        </w:rPr>
        <w:footnoteReference w:id="33"/>
      </w:r>
      <w:r w:rsidRPr="00C1042C">
        <w:t xml:space="preserve"> applie</w:t>
      </w:r>
      <w:r w:rsidR="00787731">
        <w:t>s</w:t>
      </w:r>
      <w:r w:rsidRPr="00C1042C">
        <w:t xml:space="preserve"> a ‘monetary’ definition</w:t>
      </w:r>
      <w:r w:rsidR="00395567">
        <w:rPr>
          <w:lang w:val="en-US"/>
        </w:rPr>
        <w:t>, focusing</w:t>
      </w:r>
      <w:r w:rsidRPr="00C1042C">
        <w:t xml:space="preserve"> on the portion of the expenses for energy relative to the monthly budget of household. </w:t>
      </w:r>
      <w:r w:rsidR="00475C62">
        <w:t>Another report on energy poverty</w:t>
      </w:r>
      <w:r w:rsidR="00475C62">
        <w:rPr>
          <w:rStyle w:val="FootnoteReference"/>
        </w:rPr>
        <w:footnoteReference w:id="34"/>
      </w:r>
      <w:r w:rsidR="00475C62">
        <w:t xml:space="preserve"> maintains that a household is energy-poor when its members cannot afford the necessary heating comfort at a reasonable price, depending on their income.  </w:t>
      </w:r>
    </w:p>
    <w:p w14:paraId="7CADD03C" w14:textId="77777777" w:rsidR="005605CA" w:rsidRDefault="005605CA" w:rsidP="0032208C">
      <w:pPr>
        <w:pStyle w:val="FRABodyText"/>
        <w:rPr>
          <w:highlight w:val="yellow"/>
        </w:rPr>
      </w:pPr>
    </w:p>
    <w:p w14:paraId="44503F94" w14:textId="25857C72" w:rsidR="00F106E0" w:rsidRPr="00395567" w:rsidRDefault="009705E9" w:rsidP="0032208C">
      <w:pPr>
        <w:pStyle w:val="FRABodyText"/>
      </w:pPr>
      <w:r>
        <w:t>Thus</w:t>
      </w:r>
      <w:r w:rsidR="00F106E0" w:rsidRPr="00395567">
        <w:t>, the group of energy-poor persons will be defined along the following criteria: that they experience insufficient levels of energy services due to (1) the unaffordability of energy services, or (2) the tangible inaccessibility of energy services.</w:t>
      </w:r>
    </w:p>
    <w:p w14:paraId="1C580836" w14:textId="77777777" w:rsidR="00C5620B" w:rsidRPr="00F106E0" w:rsidRDefault="00C5620B" w:rsidP="0032208C">
      <w:pPr>
        <w:pStyle w:val="FRABodyText"/>
      </w:pPr>
    </w:p>
    <w:p w14:paraId="2E925032" w14:textId="77777777" w:rsidR="00F106E0" w:rsidRPr="00F106E0" w:rsidRDefault="00F106E0" w:rsidP="008E576F">
      <w:pPr>
        <w:numPr>
          <w:ilvl w:val="0"/>
          <w:numId w:val="3"/>
        </w:numPr>
        <w:spacing w:line="276" w:lineRule="auto"/>
        <w:rPr>
          <w:b/>
        </w:rPr>
      </w:pPr>
      <w:r w:rsidRPr="00F106E0">
        <w:rPr>
          <w:b/>
        </w:rPr>
        <w:t>Undeclared Workers</w:t>
      </w:r>
    </w:p>
    <w:p w14:paraId="5EEFDE09" w14:textId="379C11D0" w:rsidR="00270290" w:rsidRDefault="00D7773B" w:rsidP="00270290">
      <w:pPr>
        <w:pStyle w:val="FRABodyText"/>
        <w:rPr>
          <w:highlight w:val="yellow"/>
        </w:rPr>
      </w:pPr>
      <w:r>
        <w:rPr>
          <w:lang w:val="en-US"/>
        </w:rPr>
        <w:t xml:space="preserve">Neither </w:t>
      </w:r>
      <w:r w:rsidR="00270290" w:rsidRPr="00551EF4">
        <w:t>Bulgaria</w:t>
      </w:r>
      <w:r>
        <w:t xml:space="preserve">, nor </w:t>
      </w:r>
      <w:r w:rsidR="00270290">
        <w:t xml:space="preserve">the EU </w:t>
      </w:r>
      <w:r>
        <w:t>offer a</w:t>
      </w:r>
      <w:r w:rsidR="00270290">
        <w:t xml:space="preserve"> common </w:t>
      </w:r>
      <w:r w:rsidR="00270290" w:rsidRPr="00551EF4">
        <w:t>definition of undeclared work</w:t>
      </w:r>
      <w:r w:rsidR="00270290">
        <w:t>.</w:t>
      </w:r>
      <w:r w:rsidR="00411231">
        <w:t xml:space="preserve"> </w:t>
      </w:r>
      <w:r w:rsidR="00270290" w:rsidRPr="00551EF4">
        <w:t>The main types of undeclared work in Bulgaria, according to</w:t>
      </w:r>
      <w:r w:rsidR="00F834B4">
        <w:rPr>
          <w:lang w:val="bg-BG"/>
        </w:rPr>
        <w:t xml:space="preserve"> </w:t>
      </w:r>
      <w:r w:rsidR="00F834B4">
        <w:rPr>
          <w:lang w:val="en-US"/>
        </w:rPr>
        <w:t>working definitions of</w:t>
      </w:r>
      <w:r w:rsidR="00270290" w:rsidRPr="00551EF4">
        <w:t xml:space="preserve"> the </w:t>
      </w:r>
      <w:r w:rsidR="00270290" w:rsidRPr="00EC35D7">
        <w:t xml:space="preserve">National Revenue Agency (NRA) </w:t>
      </w:r>
      <w:r>
        <w:t>(</w:t>
      </w:r>
      <w:r w:rsidRPr="00D7773B">
        <w:rPr>
          <w:i/>
          <w:lang w:val="bg-BG"/>
        </w:rPr>
        <w:t>Национална агенция за приходите</w:t>
      </w:r>
      <w:r>
        <w:rPr>
          <w:lang w:val="bg-BG"/>
        </w:rPr>
        <w:t>, НАП</w:t>
      </w:r>
      <w:r>
        <w:t>)</w:t>
      </w:r>
      <w:r w:rsidR="00F834B4">
        <w:t xml:space="preserve"> and </w:t>
      </w:r>
      <w:r w:rsidR="00F834B4" w:rsidRPr="00EC35D7">
        <w:t>The General Labour Inspe</w:t>
      </w:r>
      <w:r w:rsidR="00F834B4">
        <w:t>ctorate Executive Agency (GLI</w:t>
      </w:r>
      <w:r w:rsidR="00F834B4" w:rsidRPr="00EC35D7">
        <w:t>)</w:t>
      </w:r>
      <w:r w:rsidR="00F834B4">
        <w:t xml:space="preserve"> (</w:t>
      </w:r>
      <w:r w:rsidR="00F834B4" w:rsidRPr="00F834B4">
        <w:rPr>
          <w:i/>
          <w:lang w:val="bg-BG"/>
        </w:rPr>
        <w:t>Изпълнителна агенция „Главна инспекция по труда“</w:t>
      </w:r>
      <w:r w:rsidR="00F834B4">
        <w:rPr>
          <w:lang w:val="bg-BG"/>
        </w:rPr>
        <w:t>, ГИТ</w:t>
      </w:r>
      <w:r w:rsidR="00F834B4">
        <w:t>)</w:t>
      </w:r>
      <w:r>
        <w:rPr>
          <w:lang w:val="bg-BG"/>
        </w:rPr>
        <w:t xml:space="preserve">, </w:t>
      </w:r>
      <w:r>
        <w:rPr>
          <w:lang w:val="en-US"/>
        </w:rPr>
        <w:t>are</w:t>
      </w:r>
      <w:r w:rsidR="00270290" w:rsidRPr="00EC35D7">
        <w:t xml:space="preserve">: working without a </w:t>
      </w:r>
      <w:r w:rsidR="00F834B4">
        <w:t xml:space="preserve">written </w:t>
      </w:r>
      <w:r w:rsidR="00270290" w:rsidRPr="00EC35D7">
        <w:t>labour contract,</w:t>
      </w:r>
      <w:r w:rsidR="00F834B4">
        <w:t xml:space="preserve"> or with one unregistered with authorities,</w:t>
      </w:r>
      <w:r w:rsidR="00270290" w:rsidRPr="00EC35D7">
        <w:t xml:space="preserve"> with a lower official wage than the real wage</w:t>
      </w:r>
      <w:r w:rsidR="00F834B4">
        <w:t>, i.e. ‘envelope’ wages</w:t>
      </w:r>
      <w:r w:rsidR="00270290" w:rsidRPr="00EC35D7">
        <w:t>; recruitment under, or at the minimum insurance threshold for the respective job; declaring labour contracts as part-time work instead of full-time employment</w:t>
      </w:r>
      <w:r w:rsidR="00F834B4">
        <w:t>; false calculation of working time not accounting for holiday and overtime</w:t>
      </w:r>
      <w:r w:rsidR="007E524C">
        <w:t>,</w:t>
      </w:r>
      <w:r w:rsidR="007E524C">
        <w:rPr>
          <w:rStyle w:val="FootnoteReference"/>
          <w:rFonts w:eastAsiaTheme="minorHAnsi"/>
          <w:lang w:val="en-US"/>
        </w:rPr>
        <w:footnoteReference w:id="35"/>
      </w:r>
      <w:r w:rsidR="007E524C">
        <w:t xml:space="preserve"> thus all people working in conditions, somehow violating labour legislation (see below). </w:t>
      </w:r>
    </w:p>
    <w:p w14:paraId="17B1D781" w14:textId="77777777" w:rsidR="00413573" w:rsidRPr="00A1666C" w:rsidRDefault="00413573" w:rsidP="0032208C">
      <w:pPr>
        <w:pStyle w:val="FRABodyText"/>
      </w:pPr>
    </w:p>
    <w:p w14:paraId="0677B51C" w14:textId="7CC8C4B2" w:rsidR="00413573" w:rsidRPr="00A1666C" w:rsidRDefault="002B7F26" w:rsidP="008E576F">
      <w:pPr>
        <w:pStyle w:val="FRAHeading1"/>
        <w:numPr>
          <w:ilvl w:val="0"/>
          <w:numId w:val="5"/>
        </w:numPr>
        <w:jc w:val="both"/>
      </w:pPr>
      <w:bookmarkStart w:id="6" w:name="_Toc18446560"/>
      <w:r w:rsidRPr="00A1666C">
        <w:lastRenderedPageBreak/>
        <w:t>Review of Bulgarian legal acts</w:t>
      </w:r>
      <w:bookmarkEnd w:id="6"/>
    </w:p>
    <w:p w14:paraId="396B9424" w14:textId="02E0B7AD" w:rsidR="00413573" w:rsidRPr="00A1666C" w:rsidRDefault="002B7F26" w:rsidP="0032208C">
      <w:r w:rsidRPr="00A1666C">
        <w:t>In this section, Bul</w:t>
      </w:r>
      <w:r w:rsidR="00907E61" w:rsidRPr="00A1666C">
        <w:t xml:space="preserve">garian primary and secondary legislation will be reviewed, which defines and/or refers to the groups from section 1. For the groups present in Bulgarian legislation, the section </w:t>
      </w:r>
      <w:r w:rsidR="000644A2" w:rsidRPr="00A1666C">
        <w:t>will add</w:t>
      </w:r>
      <w:r w:rsidR="00907E61" w:rsidRPr="00A1666C">
        <w:t xml:space="preserve"> the relevant international </w:t>
      </w:r>
      <w:r w:rsidR="000644A2" w:rsidRPr="00A1666C">
        <w:t xml:space="preserve">and EU </w:t>
      </w:r>
      <w:r w:rsidR="00907E61" w:rsidRPr="00A1666C">
        <w:t xml:space="preserve">standards to which Bulgarian legislation refers or which it has practically implemented without explicit referral. </w:t>
      </w:r>
      <w:r w:rsidR="000261D1" w:rsidRPr="00A1666C">
        <w:t>For the groups not present in Bulgarian legislation, the relevant standards Bulgaria is bound by are mentioned. The information will be presented by groups, as follows.</w:t>
      </w:r>
    </w:p>
    <w:p w14:paraId="6F1EFFEB" w14:textId="77777777" w:rsidR="00413573" w:rsidRPr="00A1666C" w:rsidRDefault="00413573" w:rsidP="0032208C"/>
    <w:p w14:paraId="134CC838" w14:textId="3A6F6A24" w:rsidR="00413573" w:rsidRPr="00A1666C" w:rsidRDefault="009B784F" w:rsidP="008E576F">
      <w:pPr>
        <w:numPr>
          <w:ilvl w:val="0"/>
          <w:numId w:val="4"/>
        </w:numPr>
        <w:spacing w:line="276" w:lineRule="auto"/>
      </w:pPr>
      <w:r>
        <w:rPr>
          <w:b/>
        </w:rPr>
        <w:t>Roma</w:t>
      </w:r>
    </w:p>
    <w:p w14:paraId="72DF6D43" w14:textId="5CAF774F" w:rsidR="00B85942" w:rsidRDefault="004A5DAF" w:rsidP="0032208C">
      <w:pPr>
        <w:pStyle w:val="FRABodyText"/>
      </w:pPr>
      <w:r>
        <w:rPr>
          <w:lang w:val="en-US"/>
        </w:rPr>
        <w:t>The Constitution</w:t>
      </w:r>
      <w:r w:rsidR="00BB77B8">
        <w:rPr>
          <w:rStyle w:val="FootnoteReference"/>
        </w:rPr>
        <w:footnoteReference w:id="36"/>
      </w:r>
      <w:r w:rsidR="009B784F">
        <w:t xml:space="preserve"> </w:t>
      </w:r>
      <w:r w:rsidR="005845AE">
        <w:t xml:space="preserve">only </w:t>
      </w:r>
      <w:r w:rsidR="00B85942">
        <w:t xml:space="preserve">offers a reference to </w:t>
      </w:r>
      <w:r w:rsidR="002D7985">
        <w:t>integration of ethnic minorities,</w:t>
      </w:r>
      <w:r w:rsidR="00B85942">
        <w:t xml:space="preserve"> through the general prohibition of discrimination based on,  among others, ethnicity and the </w:t>
      </w:r>
      <w:r w:rsidR="005440DD">
        <w:t xml:space="preserve">practical </w:t>
      </w:r>
      <w:r w:rsidR="00B85942">
        <w:t xml:space="preserve">recognition of </w:t>
      </w:r>
      <w:r w:rsidR="005845AE">
        <w:t xml:space="preserve">their </w:t>
      </w:r>
      <w:r w:rsidR="00B85942">
        <w:t>cultural rights</w:t>
      </w:r>
      <w:r w:rsidR="005440DD">
        <w:t>.</w:t>
      </w:r>
      <w:r w:rsidR="00B85942">
        <w:t xml:space="preserve"> </w:t>
      </w:r>
    </w:p>
    <w:p w14:paraId="1FE0FE9C" w14:textId="77777777" w:rsidR="002841EB" w:rsidRDefault="002841EB" w:rsidP="0032208C">
      <w:pPr>
        <w:pStyle w:val="FRABodyText"/>
        <w:rPr>
          <w:lang w:val="bg-BG"/>
        </w:rPr>
      </w:pPr>
    </w:p>
    <w:p w14:paraId="1CA57077" w14:textId="05FAB7E6" w:rsidR="00C820B7" w:rsidRDefault="008067E7" w:rsidP="0032208C">
      <w:pPr>
        <w:pStyle w:val="FRABodyText"/>
      </w:pPr>
      <w:r w:rsidRPr="008067E7">
        <w:rPr>
          <w:lang w:val="en-US"/>
        </w:rPr>
        <w:t xml:space="preserve">The </w:t>
      </w:r>
      <w:r w:rsidR="00B85942" w:rsidRPr="008067E7">
        <w:t>Protection Against Discrimination Act</w:t>
      </w:r>
      <w:r w:rsidR="004F5D5E">
        <w:t xml:space="preserve"> </w:t>
      </w:r>
      <w:r w:rsidR="004F5D5E" w:rsidRPr="004F5D5E">
        <w:rPr>
          <w:i/>
        </w:rPr>
        <w:t>(</w:t>
      </w:r>
      <w:r w:rsidR="004F5D5E" w:rsidRPr="004F5D5E">
        <w:rPr>
          <w:i/>
          <w:lang w:val="bg-BG"/>
        </w:rPr>
        <w:t>Закон за защита от дискриминация</w:t>
      </w:r>
      <w:r w:rsidR="004F5D5E" w:rsidRPr="004F5D5E">
        <w:rPr>
          <w:i/>
        </w:rPr>
        <w:t>)</w:t>
      </w:r>
      <w:r w:rsidR="00B85942" w:rsidRPr="008067E7">
        <w:rPr>
          <w:rStyle w:val="FootnoteReference"/>
          <w:sz w:val="24"/>
          <w:szCs w:val="24"/>
        </w:rPr>
        <w:footnoteReference w:id="37"/>
      </w:r>
      <w:r w:rsidR="00F45C18">
        <w:t xml:space="preserve"> </w:t>
      </w:r>
      <w:r w:rsidR="00B85942" w:rsidRPr="00160D8E">
        <w:t xml:space="preserve">aims at equality before the law, equal treatment and opportunities for participation and effective protection against </w:t>
      </w:r>
      <w:r w:rsidR="00B85942">
        <w:t xml:space="preserve">any discrimination – </w:t>
      </w:r>
      <w:r w:rsidR="009D058F">
        <w:t>direct or indirect</w:t>
      </w:r>
      <w:r w:rsidR="00B85942">
        <w:t xml:space="preserve"> – based on, </w:t>
      </w:r>
      <w:r w:rsidR="009D058F">
        <w:rPr>
          <w:lang w:val="en-US"/>
        </w:rPr>
        <w:t>among others, ethnicity.</w:t>
      </w:r>
      <w:r w:rsidR="00B85942">
        <w:t xml:space="preserve"> </w:t>
      </w:r>
      <w:r w:rsidR="00542DDE">
        <w:rPr>
          <w:lang w:val="en-US"/>
        </w:rPr>
        <w:t>The Act lists</w:t>
      </w:r>
      <w:r w:rsidR="00B85942">
        <w:t xml:space="preserve"> as discrimination any </w:t>
      </w:r>
      <w:r w:rsidR="00542DDE">
        <w:t>harassment</w:t>
      </w:r>
      <w:r w:rsidR="00B85942">
        <w:t xml:space="preserve"> based on </w:t>
      </w:r>
      <w:r w:rsidR="00542DDE">
        <w:t>protected grounds</w:t>
      </w:r>
      <w:r w:rsidR="00B85942">
        <w:t>, as well as</w:t>
      </w:r>
      <w:r w:rsidR="00542DDE">
        <w:t xml:space="preserve">, notably in the case of Roma/ethnic minorities, </w:t>
      </w:r>
      <w:r w:rsidR="00B85942">
        <w:t>incitement to discrimination</w:t>
      </w:r>
      <w:r w:rsidR="00C820B7">
        <w:t xml:space="preserve"> and racial</w:t>
      </w:r>
      <w:r w:rsidR="008509DC">
        <w:t>/ethnic</w:t>
      </w:r>
      <w:r w:rsidR="00C820B7">
        <w:t xml:space="preserve"> segregation</w:t>
      </w:r>
      <w:r w:rsidR="00B85942">
        <w:t>.</w:t>
      </w:r>
      <w:r w:rsidR="00B85942">
        <w:rPr>
          <w:rStyle w:val="FootnoteReference"/>
          <w:sz w:val="24"/>
          <w:szCs w:val="24"/>
        </w:rPr>
        <w:footnoteReference w:id="38"/>
      </w:r>
      <w:r w:rsidR="00B85942">
        <w:t xml:space="preserve"> </w:t>
      </w:r>
      <w:r w:rsidR="00AF65F6">
        <w:t xml:space="preserve">The Act does not contain a definition of Roma, but </w:t>
      </w:r>
      <w:r w:rsidR="00173B36">
        <w:t>applies</w:t>
      </w:r>
      <w:r w:rsidR="00AF65F6">
        <w:t xml:space="preserve"> the concept of ‘minorities’ </w:t>
      </w:r>
      <w:r w:rsidR="00AF65F6" w:rsidRPr="00AF65F6">
        <w:rPr>
          <w:i/>
          <w:lang w:val="bg-BG"/>
        </w:rPr>
        <w:t>(малцинства)</w:t>
      </w:r>
      <w:r w:rsidR="00AF65F6">
        <w:rPr>
          <w:lang w:val="en-US"/>
        </w:rPr>
        <w:t xml:space="preserve">, providing a number of vulnerability factors. </w:t>
      </w:r>
      <w:r w:rsidR="00C820B7">
        <w:t>Among the</w:t>
      </w:r>
      <w:r w:rsidR="00B85942">
        <w:t xml:space="preserve"> acts that do not constitute discrimination</w:t>
      </w:r>
      <w:r w:rsidR="00C820B7">
        <w:t>,</w:t>
      </w:r>
      <w:r w:rsidR="00B85942">
        <w:t xml:space="preserve"> </w:t>
      </w:r>
      <w:r w:rsidR="00C820B7">
        <w:t>the Act lists</w:t>
      </w:r>
      <w:r w:rsidR="00B85942">
        <w:t xml:space="preserve"> measures to affirm the identity of ethnic, religious or linguistic minorities, as well as their right to</w:t>
      </w:r>
      <w:r w:rsidR="00C820B7">
        <w:t xml:space="preserve"> i</w:t>
      </w:r>
      <w:r w:rsidR="00B85942">
        <w:t>nd</w:t>
      </w:r>
      <w:r w:rsidR="00DD25B2">
        <w:t>ividually</w:t>
      </w:r>
      <w:r w:rsidR="00B85942">
        <w:t xml:space="preserve"> or collectively sustain and develop their culture, manifest their beliefs or use their language</w:t>
      </w:r>
      <w:r w:rsidR="000C3601">
        <w:t>,</w:t>
      </w:r>
      <w:r w:rsidR="00B85942">
        <w:t xml:space="preserve"> </w:t>
      </w:r>
      <w:r w:rsidR="000C3601">
        <w:t xml:space="preserve"> and a</w:t>
      </w:r>
      <w:r w:rsidR="00B85942">
        <w:t xml:space="preserve">ffirmative actions </w:t>
      </w:r>
      <w:r w:rsidR="00DD25B2">
        <w:t>for</w:t>
      </w:r>
      <w:r w:rsidR="00B85942">
        <w:t xml:space="preserve"> the participation of ethnic minorities in the educational system. The </w:t>
      </w:r>
      <w:r w:rsidR="00C820B7">
        <w:t>Act</w:t>
      </w:r>
      <w:r w:rsidR="00B85942">
        <w:t xml:space="preserve"> offers specific protection in the context of the right to work (obliging employers to support the job application</w:t>
      </w:r>
      <w:r w:rsidR="00C820B7">
        <w:t>, professional development and participation</w:t>
      </w:r>
      <w:r w:rsidR="00B85942">
        <w:t xml:space="preserve"> of the underrepresented gender or ethnic group</w:t>
      </w:r>
      <w:r w:rsidR="00C820B7">
        <w:t>s</w:t>
      </w:r>
      <w:r w:rsidR="00B85942">
        <w:t xml:space="preserve">) and </w:t>
      </w:r>
      <w:r w:rsidR="00C820B7">
        <w:rPr>
          <w:lang w:val="en-US"/>
        </w:rPr>
        <w:t xml:space="preserve">negative stereotyping in </w:t>
      </w:r>
      <w:r w:rsidR="00B85942">
        <w:t>education.</w:t>
      </w:r>
      <w:r w:rsidR="00C820B7">
        <w:t xml:space="preserve"> Authorities should also encourage the participation of</w:t>
      </w:r>
      <w:r w:rsidR="00594050">
        <w:t xml:space="preserve"> </w:t>
      </w:r>
      <w:r w:rsidR="00C820B7">
        <w:t>ethnic minorities in government and decision making.</w:t>
      </w:r>
      <w:r w:rsidR="00F45C18">
        <w:t xml:space="preserve"> Thus, the Act practically enlists a number of vulnerability factors for groups like Roma, including discrimination and incitement thereto, racial segregation, </w:t>
      </w:r>
      <w:r w:rsidR="00DD25B2">
        <w:rPr>
          <w:lang w:val="en-US"/>
        </w:rPr>
        <w:t>various</w:t>
      </w:r>
      <w:r w:rsidR="00F5554B">
        <w:rPr>
          <w:lang w:val="en-US"/>
        </w:rPr>
        <w:t xml:space="preserve"> forms of violations of their identity/culture/beliefs/language</w:t>
      </w:r>
      <w:r w:rsidR="00DD25B2">
        <w:rPr>
          <w:lang w:val="en-US"/>
        </w:rPr>
        <w:t xml:space="preserve"> and</w:t>
      </w:r>
      <w:r w:rsidR="00F5554B">
        <w:rPr>
          <w:lang w:val="en-US"/>
        </w:rPr>
        <w:t xml:space="preserve"> right to work, negative stereotyping</w:t>
      </w:r>
      <w:r w:rsidR="004160B7">
        <w:rPr>
          <w:lang w:val="en-US"/>
        </w:rPr>
        <w:t xml:space="preserve">, impaired participation in government and decision making. </w:t>
      </w:r>
      <w:r w:rsidR="00F45C18">
        <w:t xml:space="preserve"> </w:t>
      </w:r>
    </w:p>
    <w:p w14:paraId="006FA5A5" w14:textId="11D84DB0" w:rsidR="00B85942" w:rsidRDefault="00B85942" w:rsidP="0032208C">
      <w:pPr>
        <w:pStyle w:val="FRABodyText"/>
      </w:pPr>
      <w:r>
        <w:t xml:space="preserve"> </w:t>
      </w:r>
    </w:p>
    <w:p w14:paraId="511B6CB4" w14:textId="4C8976FC" w:rsidR="00F106E0" w:rsidRPr="00F106E0" w:rsidRDefault="00F106E0" w:rsidP="008E576F">
      <w:pPr>
        <w:pStyle w:val="ListParagraph"/>
        <w:numPr>
          <w:ilvl w:val="0"/>
          <w:numId w:val="4"/>
        </w:numPr>
        <w:spacing w:line="276" w:lineRule="auto"/>
        <w:rPr>
          <w:b/>
        </w:rPr>
      </w:pPr>
      <w:r w:rsidRPr="00F106E0">
        <w:rPr>
          <w:b/>
        </w:rPr>
        <w:t>Children at Risk</w:t>
      </w:r>
    </w:p>
    <w:p w14:paraId="6CB252AB" w14:textId="4AE50CA5" w:rsidR="00AF3369" w:rsidRDefault="00AF3369" w:rsidP="0032208C">
      <w:pPr>
        <w:pStyle w:val="FRABodyText"/>
        <w:rPr>
          <w:lang w:val="en-US"/>
        </w:rPr>
      </w:pPr>
      <w:r>
        <w:rPr>
          <w:lang w:val="en-US"/>
        </w:rPr>
        <w:t>The Constitution of the Republic of Bulgaria (</w:t>
      </w:r>
      <w:r>
        <w:rPr>
          <w:i/>
          <w:lang w:val="bg-BG"/>
        </w:rPr>
        <w:t>Конституция на Република България</w:t>
      </w:r>
      <w:r>
        <w:rPr>
          <w:lang w:val="bg-BG"/>
        </w:rPr>
        <w:t>)</w:t>
      </w:r>
      <w:r>
        <w:rPr>
          <w:lang w:val="en-US"/>
        </w:rPr>
        <w:t xml:space="preserve"> explicitly proclaims that children, together with mothers and the family unit are under the protection of the State and the society. </w:t>
      </w:r>
      <w:r w:rsidR="00EE359B">
        <w:rPr>
          <w:lang w:val="en-US"/>
        </w:rPr>
        <w:t>T</w:t>
      </w:r>
      <w:r>
        <w:rPr>
          <w:lang w:val="en-US"/>
        </w:rPr>
        <w:t xml:space="preserve">he raising and education of children until they reach adulthood is a right and a duty of their parents, with the support of the State. </w:t>
      </w:r>
      <w:r w:rsidR="00594050">
        <w:rPr>
          <w:lang w:val="en-US"/>
        </w:rPr>
        <w:t xml:space="preserve">Special protection </w:t>
      </w:r>
      <w:r w:rsidR="00594050">
        <w:rPr>
          <w:lang w:val="en-US"/>
        </w:rPr>
        <w:lastRenderedPageBreak/>
        <w:t>is proclaimed</w:t>
      </w:r>
      <w:r>
        <w:rPr>
          <w:lang w:val="en-US"/>
        </w:rPr>
        <w:t xml:space="preserve"> to </w:t>
      </w:r>
      <w:r w:rsidR="00DB1000">
        <w:rPr>
          <w:lang w:val="en-US"/>
        </w:rPr>
        <w:t>children left without the care of their relatives</w:t>
      </w:r>
      <w:r>
        <w:rPr>
          <w:lang w:val="en-US"/>
        </w:rPr>
        <w:t xml:space="preserve">. Lastly, the right to education is guaranteed </w:t>
      </w:r>
      <w:r w:rsidR="00EE359B">
        <w:rPr>
          <w:lang w:val="en-US"/>
        </w:rPr>
        <w:t>and</w:t>
      </w:r>
      <w:r>
        <w:rPr>
          <w:lang w:val="en-US"/>
        </w:rPr>
        <w:t xml:space="preserve"> school education </w:t>
      </w:r>
      <w:r w:rsidR="00EE359B">
        <w:rPr>
          <w:lang w:val="en-US"/>
        </w:rPr>
        <w:t xml:space="preserve">is </w:t>
      </w:r>
      <w:r>
        <w:rPr>
          <w:lang w:val="en-US"/>
        </w:rPr>
        <w:t>mandatory until the age of 16.</w:t>
      </w:r>
      <w:r w:rsidR="00DB1000">
        <w:rPr>
          <w:rStyle w:val="FootnoteReference"/>
          <w:rFonts w:eastAsiaTheme="minorHAnsi"/>
          <w:lang w:val="en-US"/>
        </w:rPr>
        <w:footnoteReference w:id="39"/>
      </w:r>
    </w:p>
    <w:p w14:paraId="1EB375D3" w14:textId="77777777" w:rsidR="00DB1000" w:rsidRDefault="00DB1000" w:rsidP="0032208C">
      <w:pPr>
        <w:pStyle w:val="FRABodyText"/>
        <w:rPr>
          <w:lang w:val="en-US"/>
        </w:rPr>
      </w:pPr>
    </w:p>
    <w:p w14:paraId="4A36DE15" w14:textId="10EE1129" w:rsidR="00181402" w:rsidRPr="00763B12" w:rsidRDefault="009F32A2" w:rsidP="0032208C">
      <w:pPr>
        <w:pStyle w:val="FRABodyText"/>
        <w:rPr>
          <w:lang w:val="en-US"/>
        </w:rPr>
      </w:pPr>
      <w:r>
        <w:rPr>
          <w:lang w:val="en-US"/>
        </w:rPr>
        <w:t>Besides defining children at risk, t</w:t>
      </w:r>
      <w:r w:rsidR="00AF3369">
        <w:rPr>
          <w:lang w:val="en-US"/>
        </w:rPr>
        <w:t xml:space="preserve">he Child Protection Act </w:t>
      </w:r>
      <w:r w:rsidR="00AF3369">
        <w:rPr>
          <w:lang w:val="bg-BG"/>
        </w:rPr>
        <w:t>(</w:t>
      </w:r>
      <w:r w:rsidR="00AF3369">
        <w:rPr>
          <w:i/>
          <w:lang w:val="bg-BG"/>
        </w:rPr>
        <w:t>Закон за закрила на детето</w:t>
      </w:r>
      <w:r w:rsidR="00AF3369">
        <w:rPr>
          <w:lang w:val="bg-BG"/>
        </w:rPr>
        <w:t>)</w:t>
      </w:r>
      <w:r w:rsidR="00175A7B">
        <w:rPr>
          <w:lang w:val="en-US"/>
        </w:rPr>
        <w:t xml:space="preserve"> provides for a national information system on </w:t>
      </w:r>
      <w:r w:rsidR="00EE359B">
        <w:rPr>
          <w:lang w:val="en-US"/>
        </w:rPr>
        <w:t xml:space="preserve">such </w:t>
      </w:r>
      <w:r w:rsidR="00175A7B">
        <w:rPr>
          <w:lang w:val="en-US"/>
        </w:rPr>
        <w:t xml:space="preserve">children, </w:t>
      </w:r>
      <w:r w:rsidR="00BB2E7D">
        <w:rPr>
          <w:lang w:val="en-US"/>
        </w:rPr>
        <w:t xml:space="preserve">ensures support by social support directorates </w:t>
      </w:r>
      <w:r w:rsidR="00BB2E7D" w:rsidRPr="00BB2E7D">
        <w:rPr>
          <w:i/>
          <w:lang w:val="en-US"/>
        </w:rPr>
        <w:t>(</w:t>
      </w:r>
      <w:r w:rsidR="00BB2E7D" w:rsidRPr="00BB2E7D">
        <w:rPr>
          <w:i/>
          <w:lang w:val="bg-BG"/>
        </w:rPr>
        <w:t>дирекции „Социално подпомагане“</w:t>
      </w:r>
      <w:r w:rsidR="00BB2E7D" w:rsidRPr="00BB2E7D">
        <w:rPr>
          <w:i/>
          <w:lang w:val="en-US"/>
        </w:rPr>
        <w:t>)</w:t>
      </w:r>
      <w:r w:rsidR="00BB2E7D">
        <w:rPr>
          <w:i/>
          <w:lang w:val="bg-BG"/>
        </w:rPr>
        <w:t xml:space="preserve"> </w:t>
      </w:r>
      <w:r w:rsidR="00BB2E7D">
        <w:rPr>
          <w:lang w:val="en-US"/>
        </w:rPr>
        <w:t>to the</w:t>
      </w:r>
      <w:r w:rsidR="00EE359B">
        <w:rPr>
          <w:lang w:val="en-US"/>
        </w:rPr>
        <w:t>ir</w:t>
      </w:r>
      <w:r w:rsidR="00BB2E7D">
        <w:rPr>
          <w:lang w:val="en-US"/>
        </w:rPr>
        <w:t xml:space="preserve"> professional orientation and qualification and </w:t>
      </w:r>
      <w:r w:rsidR="00EE359B">
        <w:rPr>
          <w:lang w:val="en-US"/>
        </w:rPr>
        <w:t xml:space="preserve">aims to counter </w:t>
      </w:r>
      <w:r w:rsidR="00BB2E7D">
        <w:rPr>
          <w:lang w:val="en-US"/>
        </w:rPr>
        <w:t xml:space="preserve">an additional risk of the child’s abandonment, including </w:t>
      </w:r>
      <w:r w:rsidR="00EE359B">
        <w:rPr>
          <w:lang w:val="en-US"/>
        </w:rPr>
        <w:t xml:space="preserve">right </w:t>
      </w:r>
      <w:r w:rsidR="00BB2E7D">
        <w:rPr>
          <w:lang w:val="en-US"/>
        </w:rPr>
        <w:t>after birth.</w:t>
      </w:r>
      <w:r w:rsidR="0071510B">
        <w:rPr>
          <w:rStyle w:val="FootnoteReference"/>
          <w:lang w:val="en-US"/>
        </w:rPr>
        <w:footnoteReference w:id="40"/>
      </w:r>
      <w:r w:rsidR="0071510B">
        <w:rPr>
          <w:lang w:val="en-US"/>
        </w:rPr>
        <w:t xml:space="preserve"> </w:t>
      </w:r>
      <w:r w:rsidR="0017147D">
        <w:rPr>
          <w:lang w:val="en-US"/>
        </w:rPr>
        <w:t>A</w:t>
      </w:r>
      <w:r w:rsidR="0071510B">
        <w:rPr>
          <w:lang w:val="en-US"/>
        </w:rPr>
        <w:t xml:space="preserve"> multidisciplinary co-ordination mechanism </w:t>
      </w:r>
      <w:r w:rsidR="00FA03BA">
        <w:rPr>
          <w:lang w:val="en-US"/>
        </w:rPr>
        <w:t>in cases of violence is regulated.</w:t>
      </w:r>
      <w:r w:rsidR="00AF3369" w:rsidRPr="00EE359B">
        <w:rPr>
          <w:rStyle w:val="FootnoteReference"/>
          <w:rFonts w:eastAsiaTheme="minorHAnsi"/>
          <w:iCs/>
          <w:lang w:val="bg-BG"/>
        </w:rPr>
        <w:footnoteReference w:id="41"/>
      </w:r>
      <w:r w:rsidR="00AF3369">
        <w:rPr>
          <w:lang w:val="bg-BG"/>
        </w:rPr>
        <w:t xml:space="preserve"> </w:t>
      </w:r>
      <w:r w:rsidR="0017147D">
        <w:rPr>
          <w:lang w:val="en-US"/>
        </w:rPr>
        <w:t xml:space="preserve">In the regulation for the Act’s implementation, </w:t>
      </w:r>
      <w:r w:rsidR="003D5447">
        <w:rPr>
          <w:lang w:val="en-US"/>
        </w:rPr>
        <w:t xml:space="preserve">the functions of </w:t>
      </w:r>
      <w:r w:rsidR="00BC4F6C">
        <w:rPr>
          <w:lang w:val="en-US"/>
        </w:rPr>
        <w:t>social workers are listed, regarding signals for children at risk, and the role of the</w:t>
      </w:r>
      <w:r w:rsidR="003D5447">
        <w:rPr>
          <w:lang w:val="en-US"/>
        </w:rPr>
        <w:t xml:space="preserve"> national telephone line for children 116111 </w:t>
      </w:r>
      <w:r w:rsidR="00BC4F6C">
        <w:rPr>
          <w:lang w:val="en-US"/>
        </w:rPr>
        <w:t>in identifying such children.</w:t>
      </w:r>
      <w:r w:rsidR="00181402">
        <w:rPr>
          <w:rStyle w:val="FootnoteReference"/>
          <w:lang w:val="en-US"/>
        </w:rPr>
        <w:footnoteReference w:id="42"/>
      </w:r>
      <w:r w:rsidR="00181402">
        <w:rPr>
          <w:lang w:val="en-US"/>
        </w:rPr>
        <w:t xml:space="preserve"> </w:t>
      </w:r>
    </w:p>
    <w:p w14:paraId="757FFDC1" w14:textId="77777777" w:rsidR="00181402" w:rsidRDefault="00181402" w:rsidP="0032208C">
      <w:pPr>
        <w:pStyle w:val="FRABodyText"/>
        <w:rPr>
          <w:lang w:val="en-US"/>
        </w:rPr>
      </w:pPr>
    </w:p>
    <w:p w14:paraId="5C6E71F0" w14:textId="5DA3DDD4" w:rsidR="00AF3369" w:rsidRPr="00A01086" w:rsidRDefault="00AF3369" w:rsidP="0032208C">
      <w:pPr>
        <w:pStyle w:val="FRABodyText"/>
        <w:rPr>
          <w:lang w:val="bg-BG"/>
        </w:rPr>
      </w:pPr>
      <w:r>
        <w:rPr>
          <w:lang w:val="en-US"/>
        </w:rPr>
        <w:t>The Protection against Discrimination Act (</w:t>
      </w:r>
      <w:r>
        <w:rPr>
          <w:i/>
          <w:lang w:val="bg-BG"/>
        </w:rPr>
        <w:t>Закон за защита от дискриминация</w:t>
      </w:r>
      <w:r>
        <w:rPr>
          <w:lang w:val="en-US"/>
        </w:rPr>
        <w:t>)</w:t>
      </w:r>
      <w:r>
        <w:rPr>
          <w:rStyle w:val="FootnoteReference"/>
          <w:rFonts w:eastAsiaTheme="minorHAnsi"/>
          <w:lang w:val="en-US"/>
        </w:rPr>
        <w:footnoteReference w:id="43"/>
      </w:r>
      <w:r>
        <w:rPr>
          <w:lang w:val="en-US"/>
        </w:rPr>
        <w:t xml:space="preserve"> stipulates that the special protection of children</w:t>
      </w:r>
      <w:r w:rsidR="00FA03BA">
        <w:rPr>
          <w:lang w:val="bg-BG"/>
        </w:rPr>
        <w:t xml:space="preserve"> </w:t>
      </w:r>
      <w:r w:rsidR="00FA03BA">
        <w:rPr>
          <w:lang w:val="en-US"/>
        </w:rPr>
        <w:t>without parents</w:t>
      </w:r>
      <w:r>
        <w:rPr>
          <w:lang w:val="en-US"/>
        </w:rPr>
        <w:t xml:space="preserve"> </w:t>
      </w:r>
      <w:r w:rsidR="007106F3">
        <w:rPr>
          <w:lang w:val="en-US"/>
        </w:rPr>
        <w:t>is not</w:t>
      </w:r>
      <w:r>
        <w:rPr>
          <w:lang w:val="en-US"/>
        </w:rPr>
        <w:t xml:space="preserve"> a discriminatory act. </w:t>
      </w:r>
    </w:p>
    <w:p w14:paraId="6B0DDCD6" w14:textId="77777777" w:rsidR="00FA03BA" w:rsidRDefault="00FA03BA" w:rsidP="0032208C">
      <w:pPr>
        <w:pStyle w:val="FRABodyText"/>
        <w:rPr>
          <w:lang w:val="en-US"/>
        </w:rPr>
      </w:pPr>
    </w:p>
    <w:p w14:paraId="642010B9" w14:textId="7281FB8F" w:rsidR="00F106E0" w:rsidRDefault="00BC4F6C" w:rsidP="0032208C">
      <w:pPr>
        <w:pStyle w:val="FRABodyText"/>
        <w:rPr>
          <w:lang w:val="en-US"/>
        </w:rPr>
      </w:pPr>
      <w:r w:rsidRPr="00FE6850">
        <w:t xml:space="preserve">The new Social Services Act </w:t>
      </w:r>
      <w:r w:rsidRPr="00212671">
        <w:rPr>
          <w:i/>
        </w:rPr>
        <w:t>(Закон за социалните услуги)</w:t>
      </w:r>
      <w:r w:rsidR="00291D34">
        <w:rPr>
          <w:rStyle w:val="FootnoteReference"/>
          <w:vertAlign w:val="baseline"/>
        </w:rPr>
        <w:t xml:space="preserve"> </w:t>
      </w:r>
      <w:r w:rsidRPr="00FE6850">
        <w:t>deals with children at risk</w:t>
      </w:r>
      <w:r w:rsidR="00955699" w:rsidRPr="00FE6850">
        <w:t>, and risk in general,</w:t>
      </w:r>
      <w:r w:rsidRPr="00FE6850">
        <w:t xml:space="preserve"> in </w:t>
      </w:r>
      <w:r w:rsidR="00955699" w:rsidRPr="00FE6850">
        <w:t xml:space="preserve">considerable </w:t>
      </w:r>
      <w:r w:rsidRPr="00FE6850">
        <w:t>detail</w:t>
      </w:r>
      <w:r w:rsidR="00955699" w:rsidRPr="00FE6850">
        <w:t>.</w:t>
      </w:r>
      <w:r w:rsidR="00C45B69" w:rsidRPr="00FE6850">
        <w:t xml:space="preserve"> It puts the occurrence of a specific risk for the life, limb or quality of life, or development of a person as a pre-requisite for offering specialised, as opposed to general, social services</w:t>
      </w:r>
      <w:r w:rsidR="00C40471" w:rsidRPr="00FE6850">
        <w:t>, and identified risks as a component of supportive, as opposed to preventive and rehabilitative services.</w:t>
      </w:r>
      <w:r w:rsidR="006F1C43">
        <w:t xml:space="preserve"> Children at risk are a specific target group for social services, different from ‘all children’. Social service providers face an express prohibition to refuse support to children and an obligation to inform the social support directorates </w:t>
      </w:r>
      <w:r w:rsidR="006F1C43" w:rsidRPr="006F1C43">
        <w:rPr>
          <w:i/>
        </w:rPr>
        <w:t>(</w:t>
      </w:r>
      <w:r w:rsidR="006F1C43" w:rsidRPr="006F1C43">
        <w:rPr>
          <w:i/>
          <w:lang w:val="bg-BG"/>
        </w:rPr>
        <w:t>дирекции „Социално подпомагане“</w:t>
      </w:r>
      <w:r w:rsidR="006F1C43" w:rsidRPr="006F1C43">
        <w:rPr>
          <w:i/>
        </w:rPr>
        <w:t>)</w:t>
      </w:r>
      <w:r w:rsidR="006F1C43">
        <w:rPr>
          <w:i/>
          <w:lang w:val="bg-BG"/>
        </w:rPr>
        <w:t xml:space="preserve"> </w:t>
      </w:r>
      <w:r w:rsidR="006F1C43">
        <w:rPr>
          <w:lang w:val="en-US"/>
        </w:rPr>
        <w:t>in case the child seeking support is at risk.</w:t>
      </w:r>
      <w:r w:rsidR="00FE6850">
        <w:rPr>
          <w:rStyle w:val="FootnoteReference"/>
        </w:rPr>
        <w:footnoteReference w:id="44"/>
      </w:r>
    </w:p>
    <w:p w14:paraId="14C4EB86" w14:textId="77777777" w:rsidR="00E46D23" w:rsidRDefault="00E46D23" w:rsidP="0032208C">
      <w:pPr>
        <w:pStyle w:val="FRABodyText"/>
        <w:rPr>
          <w:lang w:val="en-US"/>
        </w:rPr>
      </w:pPr>
    </w:p>
    <w:p w14:paraId="7D86B239" w14:textId="0A85AB54" w:rsidR="00291D34" w:rsidRPr="00DD43B4" w:rsidRDefault="00291D34" w:rsidP="0032208C">
      <w:pPr>
        <w:pStyle w:val="FRABodyText"/>
        <w:rPr>
          <w:lang w:val="bg-BG"/>
        </w:rPr>
      </w:pPr>
      <w:r>
        <w:rPr>
          <w:lang w:val="en-US"/>
        </w:rPr>
        <w:t xml:space="preserve">Victimisation of children by violence and exploitation is specifically dealt with in the legislation against domestic violence (see section on domestic violence) and </w:t>
      </w:r>
      <w:r w:rsidR="0017147D">
        <w:rPr>
          <w:lang w:val="en-US"/>
        </w:rPr>
        <w:t>on</w:t>
      </w:r>
      <w:r>
        <w:rPr>
          <w:lang w:val="en-US"/>
        </w:rPr>
        <w:t xml:space="preserve"> children victims of trafficking. </w:t>
      </w:r>
      <w:r w:rsidR="00DD43B4">
        <w:rPr>
          <w:lang w:val="en-US"/>
        </w:rPr>
        <w:t xml:space="preserve">The Combatting Human Trafficking Act </w:t>
      </w:r>
      <w:r w:rsidR="00DD43B4" w:rsidRPr="005343F0">
        <w:rPr>
          <w:i/>
          <w:lang w:val="en-US"/>
        </w:rPr>
        <w:t>(</w:t>
      </w:r>
      <w:r w:rsidR="00DD43B4" w:rsidRPr="005343F0">
        <w:rPr>
          <w:i/>
          <w:lang w:val="bg-BG"/>
        </w:rPr>
        <w:t>Закон за борба с трафика на хора</w:t>
      </w:r>
      <w:r w:rsidR="00DD43B4" w:rsidRPr="005343F0">
        <w:rPr>
          <w:i/>
          <w:lang w:val="en-US"/>
        </w:rPr>
        <w:t>)</w:t>
      </w:r>
      <w:r w:rsidR="00DD43B4">
        <w:rPr>
          <w:rStyle w:val="FootnoteReference"/>
          <w:i/>
          <w:lang w:val="en-US"/>
        </w:rPr>
        <w:footnoteReference w:id="45"/>
      </w:r>
      <w:r w:rsidR="007F659F">
        <w:rPr>
          <w:i/>
          <w:lang w:val="en-US"/>
        </w:rPr>
        <w:t xml:space="preserve"> </w:t>
      </w:r>
      <w:r w:rsidR="00DD43B4">
        <w:rPr>
          <w:lang w:val="en-US"/>
        </w:rPr>
        <w:t xml:space="preserve">includes child protection authorities at all levels of combatting trafficking and gives to children victims special care, including speedy identification of their families, measures under the child protection legislation, </w:t>
      </w:r>
      <w:r w:rsidR="00FA78EA">
        <w:rPr>
          <w:lang w:val="en-US"/>
        </w:rPr>
        <w:t xml:space="preserve">representation and a longer reflection period. </w:t>
      </w:r>
    </w:p>
    <w:p w14:paraId="423BB013" w14:textId="77777777" w:rsidR="00291D34" w:rsidRDefault="00291D34" w:rsidP="0032208C">
      <w:pPr>
        <w:pStyle w:val="FRABodyText"/>
        <w:rPr>
          <w:lang w:val="en-US"/>
        </w:rPr>
      </w:pPr>
    </w:p>
    <w:p w14:paraId="12E56503" w14:textId="7F9C8C37" w:rsidR="00C70E8C" w:rsidRPr="00FE6850" w:rsidRDefault="00C70E8C" w:rsidP="0032208C">
      <w:pPr>
        <w:pStyle w:val="FRABodyText"/>
      </w:pPr>
      <w:r>
        <w:rPr>
          <w:lang w:val="en-US"/>
        </w:rPr>
        <w:t>Thus,</w:t>
      </w:r>
      <w:r w:rsidR="00E46D23">
        <w:rPr>
          <w:lang w:val="bg-BG"/>
        </w:rPr>
        <w:t xml:space="preserve"> </w:t>
      </w:r>
      <w:r w:rsidR="00BD687D">
        <w:rPr>
          <w:lang w:val="en-US"/>
        </w:rPr>
        <w:t>the main vulnerability factors</w:t>
      </w:r>
      <w:r w:rsidR="00B2315C">
        <w:rPr>
          <w:lang w:val="en-US"/>
        </w:rPr>
        <w:t xml:space="preserve"> </w:t>
      </w:r>
      <w:r w:rsidR="00BD687D">
        <w:rPr>
          <w:lang w:val="en-US"/>
        </w:rPr>
        <w:t>for the children at risk are contained in their very</w:t>
      </w:r>
      <w:r w:rsidR="00947870">
        <w:rPr>
          <w:lang w:val="en-US"/>
        </w:rPr>
        <w:t xml:space="preserve"> legal</w:t>
      </w:r>
      <w:r w:rsidR="00BD687D">
        <w:rPr>
          <w:lang w:val="en-US"/>
        </w:rPr>
        <w:t xml:space="preserve"> definition</w:t>
      </w:r>
      <w:r w:rsidR="00947870">
        <w:rPr>
          <w:lang w:val="en-US"/>
        </w:rPr>
        <w:t xml:space="preserve"> (see above).</w:t>
      </w:r>
      <w:r w:rsidR="00BD687D">
        <w:t xml:space="preserve"> </w:t>
      </w:r>
      <w:r w:rsidR="0073776B">
        <w:t>Additional factors are institutionalisation,</w:t>
      </w:r>
      <w:r w:rsidR="000229A2">
        <w:t xml:space="preserve"> special education needs, street life, (dangerous) child labour, contact with the justice system as victims or perpetrators, </w:t>
      </w:r>
      <w:r w:rsidR="000229A2">
        <w:lastRenderedPageBreak/>
        <w:t>refugee/migrant status</w:t>
      </w:r>
      <w:r w:rsidR="009E0018">
        <w:rPr>
          <w:lang w:val="en-US"/>
        </w:rPr>
        <w:t xml:space="preserve">. </w:t>
      </w:r>
      <w:r w:rsidR="00BD687D">
        <w:t xml:space="preserve">Further to that, one can note as a significant factor the (lack of) co-ordination within multidisciplinary teams tasked with treating such cases and among institutions and NGOs which should provide social services and support. </w:t>
      </w:r>
    </w:p>
    <w:p w14:paraId="510A3C63" w14:textId="77777777" w:rsidR="00BC4F6C" w:rsidRPr="00F106E0" w:rsidRDefault="00BC4F6C" w:rsidP="0032208C">
      <w:pPr>
        <w:pStyle w:val="FRABodyText"/>
      </w:pPr>
    </w:p>
    <w:p w14:paraId="3D2E7794" w14:textId="77777777" w:rsidR="00F106E0" w:rsidRDefault="00F106E0" w:rsidP="008E576F">
      <w:pPr>
        <w:numPr>
          <w:ilvl w:val="0"/>
          <w:numId w:val="4"/>
        </w:numPr>
        <w:spacing w:line="276" w:lineRule="auto"/>
        <w:rPr>
          <w:b/>
        </w:rPr>
      </w:pPr>
      <w:r w:rsidRPr="00F106E0">
        <w:rPr>
          <w:b/>
        </w:rPr>
        <w:t>Persons with Disabilities</w:t>
      </w:r>
    </w:p>
    <w:p w14:paraId="4AC3CF6A" w14:textId="46C1AC2D" w:rsidR="00204DA7" w:rsidRPr="008A6D57" w:rsidRDefault="00E941C6" w:rsidP="0032208C">
      <w:pPr>
        <w:pStyle w:val="FRABodyText"/>
        <w:rPr>
          <w:lang w:val="bg-BG"/>
        </w:rPr>
      </w:pPr>
      <w:r>
        <w:rPr>
          <w:lang w:val="en-US"/>
        </w:rPr>
        <w:t>T</w:t>
      </w:r>
      <w:r w:rsidR="00BC1915">
        <w:rPr>
          <w:lang w:val="en-US"/>
        </w:rPr>
        <w:t>he People with Disabilities Act</w:t>
      </w:r>
      <w:r w:rsidR="00BC1915">
        <w:rPr>
          <w:lang w:val="bg-BG"/>
        </w:rPr>
        <w:t xml:space="preserve"> </w:t>
      </w:r>
      <w:r w:rsidR="00BC1915" w:rsidRPr="001A5DDD">
        <w:rPr>
          <w:i/>
          <w:lang w:val="bg-BG"/>
        </w:rPr>
        <w:t>(Закон за хората с увреждания)</w:t>
      </w:r>
      <w:r w:rsidR="00BC1915" w:rsidRPr="00BC1915">
        <w:rPr>
          <w:rStyle w:val="FootnoteReference"/>
          <w:lang w:val="bg-BG"/>
        </w:rPr>
        <w:footnoteReference w:id="46"/>
      </w:r>
      <w:r w:rsidR="00C663AB">
        <w:rPr>
          <w:lang w:val="en-US"/>
        </w:rPr>
        <w:t xml:space="preserve"> practically delineates the vulnerability factors, and areas, people with disabilities are faced with: the full and equal enjoyment of their rights, social </w:t>
      </w:r>
      <w:r w:rsidR="00947870">
        <w:rPr>
          <w:lang w:val="en-US"/>
        </w:rPr>
        <w:t>ex</w:t>
      </w:r>
      <w:r w:rsidR="00C663AB">
        <w:rPr>
          <w:lang w:val="en-US"/>
        </w:rPr>
        <w:t>clusion, upholding their dignity, support to them and their families; equal treatment</w:t>
      </w:r>
      <w:r w:rsidR="006C2D8F">
        <w:rPr>
          <w:lang w:val="en-US"/>
        </w:rPr>
        <w:t>,</w:t>
      </w:r>
      <w:r w:rsidR="00C663AB">
        <w:rPr>
          <w:lang w:val="en-US"/>
        </w:rPr>
        <w:t xml:space="preserve"> individual approach </w:t>
      </w:r>
      <w:r w:rsidR="006C2D8F">
        <w:rPr>
          <w:lang w:val="en-US"/>
        </w:rPr>
        <w:t xml:space="preserve">towards them </w:t>
      </w:r>
      <w:r w:rsidR="00C663AB">
        <w:rPr>
          <w:lang w:val="en-US"/>
        </w:rPr>
        <w:t xml:space="preserve">and </w:t>
      </w:r>
      <w:r w:rsidR="006C2D8F">
        <w:rPr>
          <w:lang w:val="en-US"/>
        </w:rPr>
        <w:t xml:space="preserve">their </w:t>
      </w:r>
      <w:r w:rsidR="00C663AB">
        <w:rPr>
          <w:lang w:val="en-US"/>
        </w:rPr>
        <w:t>needs assessment;</w:t>
      </w:r>
      <w:r w:rsidR="00F254A7">
        <w:rPr>
          <w:lang w:val="en-US"/>
        </w:rPr>
        <w:t xml:space="preserve"> observance of their personal choice and independence, full and effective participation </w:t>
      </w:r>
      <w:r w:rsidR="006C2D8F">
        <w:rPr>
          <w:lang w:val="en-US"/>
        </w:rPr>
        <w:t>for them</w:t>
      </w:r>
      <w:r w:rsidR="00F254A7">
        <w:rPr>
          <w:lang w:val="en-US"/>
        </w:rPr>
        <w:t xml:space="preserve"> and their families in public life and the accessibility of environment.</w:t>
      </w:r>
      <w:r w:rsidR="008D6D1B">
        <w:rPr>
          <w:lang w:val="bg-BG"/>
        </w:rPr>
        <w:t xml:space="preserve"> </w:t>
      </w:r>
      <w:r w:rsidR="008D6D1B">
        <w:rPr>
          <w:lang w:val="en-US"/>
        </w:rPr>
        <w:t xml:space="preserve">A non-exhaustive list of vulnerability areas is presented </w:t>
      </w:r>
      <w:r w:rsidR="00947870">
        <w:rPr>
          <w:lang w:val="en-US"/>
        </w:rPr>
        <w:t xml:space="preserve">in </w:t>
      </w:r>
      <w:r w:rsidR="008D6D1B">
        <w:rPr>
          <w:lang w:val="en-US"/>
        </w:rPr>
        <w:t>the spheres of life where people with disabilities should get support: healthcare, education</w:t>
      </w:r>
      <w:r w:rsidR="004100FA">
        <w:rPr>
          <w:lang w:val="en-US"/>
        </w:rPr>
        <w:t>, employment, housing, accessible environment in urbani</w:t>
      </w:r>
      <w:r w:rsidR="001E564A">
        <w:rPr>
          <w:lang w:val="en-US"/>
        </w:rPr>
        <w:t>s</w:t>
      </w:r>
      <w:r w:rsidR="004100FA">
        <w:rPr>
          <w:lang w:val="en-US"/>
        </w:rPr>
        <w:t>ed areas and public buildings, transport, culture, sports, personal life, public and political life, justice and others.</w:t>
      </w:r>
      <w:r w:rsidR="001E564A">
        <w:rPr>
          <w:lang w:val="en-US"/>
        </w:rPr>
        <w:t xml:space="preserve"> The means by which this support should be rendered</w:t>
      </w:r>
      <w:r w:rsidR="004100FA">
        <w:rPr>
          <w:lang w:val="en-US"/>
        </w:rPr>
        <w:t xml:space="preserve"> </w:t>
      </w:r>
      <w:r w:rsidR="001E564A">
        <w:rPr>
          <w:lang w:val="en-US"/>
        </w:rPr>
        <w:t xml:space="preserve">also point </w:t>
      </w:r>
      <w:r w:rsidR="00491143">
        <w:rPr>
          <w:lang w:val="en-US"/>
        </w:rPr>
        <w:t xml:space="preserve">to gaps which may potentially turn into vulnerabilities: (lack of) medical, professional, social, employment and psychological rehabilitation, </w:t>
      </w:r>
      <w:r w:rsidR="00DF21CF">
        <w:rPr>
          <w:lang w:val="en-US"/>
        </w:rPr>
        <w:t xml:space="preserve">education and vocational training, services supporting employment, accessibility and reasonable adjustments, social services, financial support, access to information, access to justice and legal support, personal mobility with maximum independence, personal support, universal design and others. </w:t>
      </w:r>
      <w:r w:rsidR="00D23B76">
        <w:rPr>
          <w:lang w:val="en-US"/>
        </w:rPr>
        <w:t>The Act specially points out to foreigners with disabilities as having equal rights to Bulgarians with disabilities if their disabilities have been determined under Bulgarian legislation</w:t>
      </w:r>
      <w:r w:rsidR="00947870">
        <w:rPr>
          <w:lang w:val="en-US"/>
        </w:rPr>
        <w:t xml:space="preserve">, thus </w:t>
      </w:r>
      <w:r w:rsidR="008F3F3A">
        <w:rPr>
          <w:lang w:val="en-US"/>
        </w:rPr>
        <w:t xml:space="preserve">being </w:t>
      </w:r>
      <w:r w:rsidR="00947870">
        <w:rPr>
          <w:lang w:val="en-US"/>
        </w:rPr>
        <w:t xml:space="preserve">a cross-sectional </w:t>
      </w:r>
      <w:r w:rsidR="00D218F7">
        <w:rPr>
          <w:lang w:val="en-US"/>
        </w:rPr>
        <w:t xml:space="preserve">vulnerable </w:t>
      </w:r>
      <w:r w:rsidR="00947870">
        <w:rPr>
          <w:lang w:val="en-US"/>
        </w:rPr>
        <w:t>group</w:t>
      </w:r>
      <w:r w:rsidR="00D23B76">
        <w:rPr>
          <w:lang w:val="en-US"/>
        </w:rPr>
        <w:t xml:space="preserve">. </w:t>
      </w:r>
    </w:p>
    <w:p w14:paraId="54F8F9FC" w14:textId="01BF32F7" w:rsidR="00204DA7" w:rsidRDefault="00204DA7" w:rsidP="0032208C">
      <w:pPr>
        <w:pStyle w:val="FRABodyText"/>
      </w:pPr>
    </w:p>
    <w:p w14:paraId="123794E5" w14:textId="1B14DA34" w:rsidR="00400D20" w:rsidRDefault="00947870" w:rsidP="0032208C">
      <w:pPr>
        <w:pStyle w:val="FRABodyText"/>
        <w:rPr>
          <w:lang w:val="en-US"/>
        </w:rPr>
      </w:pPr>
      <w:r>
        <w:rPr>
          <w:lang w:val="en-US"/>
        </w:rPr>
        <w:t>T</w:t>
      </w:r>
      <w:r w:rsidR="008A6D57" w:rsidRPr="008067E7">
        <w:rPr>
          <w:lang w:val="en-US"/>
        </w:rPr>
        <w:t xml:space="preserve">he </w:t>
      </w:r>
      <w:r w:rsidR="008A6D57" w:rsidRPr="008067E7">
        <w:t>Protection Against Discrimination Act</w:t>
      </w:r>
      <w:r w:rsidR="008A6D57">
        <w:t xml:space="preserve"> </w:t>
      </w:r>
      <w:r w:rsidR="008A6D57" w:rsidRPr="004F5D5E">
        <w:rPr>
          <w:i/>
        </w:rPr>
        <w:t>(</w:t>
      </w:r>
      <w:r w:rsidR="008A6D57" w:rsidRPr="004F5D5E">
        <w:rPr>
          <w:i/>
          <w:lang w:val="bg-BG"/>
        </w:rPr>
        <w:t>Закон за защита от дискриминация</w:t>
      </w:r>
      <w:r w:rsidR="008A6D57" w:rsidRPr="004F5D5E">
        <w:rPr>
          <w:i/>
        </w:rPr>
        <w:t>)</w:t>
      </w:r>
      <w:r w:rsidR="00034C52">
        <w:rPr>
          <w:iCs/>
        </w:rPr>
        <w:t>,</w:t>
      </w:r>
      <w:r w:rsidR="008A6D57">
        <w:t xml:space="preserve"> </w:t>
      </w:r>
      <w:r w:rsidR="00034C52">
        <w:t>protects against</w:t>
      </w:r>
      <w:r w:rsidR="008A6D57" w:rsidRPr="00160D8E">
        <w:t xml:space="preserve"> </w:t>
      </w:r>
      <w:r w:rsidR="008A6D57">
        <w:t xml:space="preserve">any form of discrimination based on, </w:t>
      </w:r>
      <w:r w:rsidR="008A6D57">
        <w:rPr>
          <w:lang w:val="en-US"/>
        </w:rPr>
        <w:t xml:space="preserve">among others, </w:t>
      </w:r>
      <w:r w:rsidR="00034C52">
        <w:rPr>
          <w:lang w:val="en-US"/>
        </w:rPr>
        <w:t>disability</w:t>
      </w:r>
      <w:r w:rsidR="008A6D57">
        <w:rPr>
          <w:lang w:val="en-US"/>
        </w:rPr>
        <w:t>.</w:t>
      </w:r>
      <w:r w:rsidR="008A6D57">
        <w:rPr>
          <w:rStyle w:val="FootnoteReference"/>
          <w:sz w:val="24"/>
          <w:szCs w:val="24"/>
        </w:rPr>
        <w:footnoteReference w:id="47"/>
      </w:r>
      <w:r w:rsidR="008A6D57">
        <w:t xml:space="preserve"> </w:t>
      </w:r>
      <w:r w:rsidR="008A6D57">
        <w:rPr>
          <w:lang w:val="en-US"/>
        </w:rPr>
        <w:t>The Act lists</w:t>
      </w:r>
      <w:r w:rsidR="008A6D57">
        <w:t xml:space="preserve"> as discrimination </w:t>
      </w:r>
      <w:r w:rsidR="00034C52">
        <w:t>the architectural environment, hindering the access of persons with disabilities to public spaces</w:t>
      </w:r>
      <w:r w:rsidR="008A6D57">
        <w:t xml:space="preserve">. </w:t>
      </w:r>
      <w:r w:rsidR="00BC1915" w:rsidRPr="00772393">
        <w:t xml:space="preserve">Amongst the measures </w:t>
      </w:r>
      <w:r w:rsidR="004775D5">
        <w:t xml:space="preserve">not constituting discrimination </w:t>
      </w:r>
      <w:r w:rsidR="00BC1915" w:rsidRPr="00772393">
        <w:t>are th</w:t>
      </w:r>
      <w:r w:rsidR="004775D5">
        <w:t>e</w:t>
      </w:r>
      <w:r w:rsidR="00AD14BC">
        <w:t xml:space="preserve"> different treatment of persons with disabilities when training or educating them to meet their specific educational needs and equalise their opportunities, as well as the</w:t>
      </w:r>
      <w:r w:rsidR="00D218F7">
        <w:rPr>
          <w:lang w:val="en-US"/>
        </w:rPr>
        <w:t>ir</w:t>
      </w:r>
      <w:r w:rsidR="00AD14BC">
        <w:t xml:space="preserve"> special protection by law</w:t>
      </w:r>
      <w:r w:rsidR="00BC1915" w:rsidRPr="00772393">
        <w:t xml:space="preserve">. </w:t>
      </w:r>
      <w:r w:rsidR="00400D20">
        <w:t xml:space="preserve">The Act </w:t>
      </w:r>
      <w:r w:rsidR="00B97B51">
        <w:t xml:space="preserve">regulates </w:t>
      </w:r>
      <w:r w:rsidR="0000376C">
        <w:rPr>
          <w:lang w:val="en-US"/>
        </w:rPr>
        <w:t>obligations for employers</w:t>
      </w:r>
      <w:r w:rsidR="00D218F7">
        <w:rPr>
          <w:lang w:val="en-US"/>
        </w:rPr>
        <w:t xml:space="preserve"> and educational institutions</w:t>
      </w:r>
      <w:r w:rsidR="0000376C">
        <w:rPr>
          <w:lang w:val="en-US"/>
        </w:rPr>
        <w:t xml:space="preserve"> to</w:t>
      </w:r>
      <w:r w:rsidR="00D218F7">
        <w:rPr>
          <w:lang w:val="en-US"/>
        </w:rPr>
        <w:t xml:space="preserve"> accommodate their needs</w:t>
      </w:r>
      <w:r w:rsidR="0000376C">
        <w:rPr>
          <w:lang w:val="en-US"/>
        </w:rPr>
        <w:t>, unless the costs</w:t>
      </w:r>
      <w:r w:rsidR="008F3F3A">
        <w:rPr>
          <w:lang w:val="en-US"/>
        </w:rPr>
        <w:t xml:space="preserve"> are</w:t>
      </w:r>
      <w:r w:rsidR="0000376C">
        <w:rPr>
          <w:lang w:val="en-US"/>
        </w:rPr>
        <w:t xml:space="preserve"> unreasonably high or considerable difficulty</w:t>
      </w:r>
      <w:r w:rsidR="00D218F7">
        <w:rPr>
          <w:lang w:val="en-US"/>
        </w:rPr>
        <w:t xml:space="preserve"> is created</w:t>
      </w:r>
      <w:r w:rsidR="0000376C">
        <w:rPr>
          <w:lang w:val="en-US"/>
        </w:rPr>
        <w:t xml:space="preserve">; </w:t>
      </w:r>
      <w:r w:rsidR="004775D5">
        <w:rPr>
          <w:lang w:val="en-US"/>
        </w:rPr>
        <w:t xml:space="preserve">moreover, </w:t>
      </w:r>
      <w:r w:rsidR="0004476A">
        <w:rPr>
          <w:lang w:val="en-US"/>
        </w:rPr>
        <w:t xml:space="preserve">trainers and educators should work to overcome negative stereotyping of persons with disabilities. </w:t>
      </w:r>
      <w:r w:rsidR="002115BF">
        <w:rPr>
          <w:lang w:val="en-US"/>
        </w:rPr>
        <w:t>Thus, other vulnerability factors include</w:t>
      </w:r>
      <w:r w:rsidR="004775D5">
        <w:rPr>
          <w:lang w:val="en-US"/>
        </w:rPr>
        <w:t xml:space="preserve"> inaccessible architectural environment,</w:t>
      </w:r>
      <w:r w:rsidR="002115BF">
        <w:rPr>
          <w:lang w:val="en-US"/>
        </w:rPr>
        <w:t xml:space="preserve"> </w:t>
      </w:r>
      <w:r w:rsidR="00A74D1C">
        <w:rPr>
          <w:lang w:val="en-US"/>
        </w:rPr>
        <w:t>lack of/</w:t>
      </w:r>
      <w:r w:rsidR="002115BF">
        <w:rPr>
          <w:lang w:val="en-US"/>
        </w:rPr>
        <w:t>unequal access</w:t>
      </w:r>
      <w:r w:rsidR="00A74D1C">
        <w:rPr>
          <w:lang w:val="en-US"/>
        </w:rPr>
        <w:t xml:space="preserve"> to employment and training to meet their specific needs</w:t>
      </w:r>
      <w:r>
        <w:rPr>
          <w:lang w:val="en-US"/>
        </w:rPr>
        <w:t>,</w:t>
      </w:r>
      <w:r w:rsidR="00A74D1C">
        <w:rPr>
          <w:lang w:val="en-US"/>
        </w:rPr>
        <w:t xml:space="preserve"> and negative stereotyping.</w:t>
      </w:r>
    </w:p>
    <w:p w14:paraId="28C48B4B" w14:textId="1720763E" w:rsidR="00A74D1C" w:rsidRDefault="00A74D1C" w:rsidP="0032208C">
      <w:pPr>
        <w:pStyle w:val="FRABodyText"/>
        <w:rPr>
          <w:lang w:val="en-US"/>
        </w:rPr>
      </w:pPr>
    </w:p>
    <w:p w14:paraId="2D9A25C2" w14:textId="25C551ED" w:rsidR="00157A7E" w:rsidRPr="002E4348" w:rsidRDefault="002E4348" w:rsidP="0032208C">
      <w:pPr>
        <w:pStyle w:val="FRABodyText"/>
        <w:rPr>
          <w:lang w:val="en-US"/>
        </w:rPr>
      </w:pPr>
      <w:r w:rsidRPr="002E4348">
        <w:rPr>
          <w:lang w:val="en-US"/>
        </w:rPr>
        <w:t xml:space="preserve">The </w:t>
      </w:r>
      <w:r w:rsidR="00157A7E" w:rsidRPr="002E4348">
        <w:t>Child Protection Act</w:t>
      </w:r>
      <w:r>
        <w:t xml:space="preserve"> </w:t>
      </w:r>
      <w:r w:rsidRPr="002E4348">
        <w:rPr>
          <w:i/>
        </w:rPr>
        <w:t>(</w:t>
      </w:r>
      <w:r w:rsidRPr="002E4348">
        <w:rPr>
          <w:i/>
          <w:lang w:val="bg-BG"/>
        </w:rPr>
        <w:t>Закон за закрила на детето</w:t>
      </w:r>
      <w:r w:rsidRPr="002E4348">
        <w:rPr>
          <w:i/>
        </w:rPr>
        <w:t>)</w:t>
      </w:r>
      <w:r w:rsidR="00157A7E" w:rsidRPr="002E4348">
        <w:rPr>
          <w:rStyle w:val="FootnoteReference"/>
          <w:sz w:val="24"/>
          <w:szCs w:val="24"/>
        </w:rPr>
        <w:footnoteReference w:id="48"/>
      </w:r>
      <w:r w:rsidR="00157A7E" w:rsidRPr="00772393">
        <w:rPr>
          <w:b/>
        </w:rPr>
        <w:t xml:space="preserve"> </w:t>
      </w:r>
      <w:r>
        <w:t>provides for</w:t>
      </w:r>
      <w:r w:rsidR="00157A7E" w:rsidRPr="00772393">
        <w:t xml:space="preserve"> special care for children with disabilities</w:t>
      </w:r>
      <w:r>
        <w:t xml:space="preserve"> and the prevention of their abandoning by parents</w:t>
      </w:r>
      <w:r w:rsidR="0071510B">
        <w:t xml:space="preserve"> (the latter as of 1 January 2020)</w:t>
      </w:r>
      <w:r>
        <w:t>.</w:t>
      </w:r>
      <w:r>
        <w:rPr>
          <w:lang w:val="bg-BG"/>
        </w:rPr>
        <w:t xml:space="preserve"> </w:t>
      </w:r>
      <w:r>
        <w:rPr>
          <w:lang w:val="en-US"/>
        </w:rPr>
        <w:t xml:space="preserve">This points to children with disabilities as a </w:t>
      </w:r>
      <w:r w:rsidR="004E6C73">
        <w:rPr>
          <w:lang w:val="en-US"/>
        </w:rPr>
        <w:t xml:space="preserve">group subjected to a multitude of vulnerability factors, especially </w:t>
      </w:r>
      <w:r w:rsidR="007D2F20">
        <w:rPr>
          <w:lang w:val="en-US"/>
        </w:rPr>
        <w:t>abandonment</w:t>
      </w:r>
      <w:r>
        <w:rPr>
          <w:lang w:val="en-US"/>
        </w:rPr>
        <w:t xml:space="preserve"> if no </w:t>
      </w:r>
      <w:r w:rsidR="007D2F20">
        <w:rPr>
          <w:lang w:val="en-US"/>
        </w:rPr>
        <w:t xml:space="preserve">medical and social </w:t>
      </w:r>
      <w:r>
        <w:rPr>
          <w:lang w:val="en-US"/>
        </w:rPr>
        <w:t xml:space="preserve">support is offered. </w:t>
      </w:r>
      <w:r w:rsidR="00AB1AF5">
        <w:rPr>
          <w:lang w:val="en-US"/>
        </w:rPr>
        <w:t xml:space="preserve">Specialists also point to the frequent unwillingness of parents </w:t>
      </w:r>
      <w:r w:rsidR="00555013">
        <w:rPr>
          <w:lang w:val="en-US"/>
        </w:rPr>
        <w:t>to subject their children to checks to establish their (psycho-social) disability due to fear of negative stereotyping – which, in turn, hinders the</w:t>
      </w:r>
      <w:r w:rsidR="007D2F20">
        <w:rPr>
          <w:lang w:val="en-US"/>
        </w:rPr>
        <w:t>ir</w:t>
      </w:r>
      <w:r w:rsidR="00555013">
        <w:rPr>
          <w:lang w:val="en-US"/>
        </w:rPr>
        <w:t xml:space="preserve"> identification. </w:t>
      </w:r>
    </w:p>
    <w:p w14:paraId="56E663A1" w14:textId="7A1AAC78" w:rsidR="002E4348" w:rsidRDefault="002E4348" w:rsidP="0032208C">
      <w:pPr>
        <w:pStyle w:val="FRABodyText"/>
      </w:pPr>
    </w:p>
    <w:p w14:paraId="224DC86C" w14:textId="7593A625" w:rsidR="00AB2874" w:rsidRPr="00E15C7E" w:rsidRDefault="00FD4E20" w:rsidP="0032208C">
      <w:pPr>
        <w:pStyle w:val="FRABodyText"/>
        <w:rPr>
          <w:lang w:val="en-US"/>
        </w:rPr>
      </w:pPr>
      <w:r>
        <w:lastRenderedPageBreak/>
        <w:t xml:space="preserve">The new </w:t>
      </w:r>
      <w:r w:rsidR="00AB2874" w:rsidRPr="00FD4E20">
        <w:t>Social Services Act</w:t>
      </w:r>
      <w:r>
        <w:t xml:space="preserve"> </w:t>
      </w:r>
      <w:r w:rsidRPr="00FD4E20">
        <w:rPr>
          <w:i/>
        </w:rPr>
        <w:t>(</w:t>
      </w:r>
      <w:r w:rsidRPr="00FD4E20">
        <w:rPr>
          <w:i/>
          <w:lang w:val="bg-BG"/>
        </w:rPr>
        <w:t>Закон за социалните услуги</w:t>
      </w:r>
      <w:r w:rsidRPr="00FD4E20">
        <w:rPr>
          <w:i/>
        </w:rPr>
        <w:t>)</w:t>
      </w:r>
      <w:r w:rsidR="00AB2874" w:rsidRPr="00FD4E20">
        <w:rPr>
          <w:rStyle w:val="FootnoteReference"/>
          <w:sz w:val="24"/>
          <w:szCs w:val="24"/>
        </w:rPr>
        <w:footnoteReference w:id="49"/>
      </w:r>
      <w:r w:rsidR="00BA2012">
        <w:rPr>
          <w:i/>
        </w:rPr>
        <w:t xml:space="preserve"> </w:t>
      </w:r>
      <w:r w:rsidR="00AB2874">
        <w:t>aims to establish guarantees related to the equal access to individuali</w:t>
      </w:r>
      <w:r w:rsidR="00E15C7E">
        <w:t>s</w:t>
      </w:r>
      <w:r w:rsidR="00AB2874">
        <w:t xml:space="preserve">ed social services, their quality and efficiency, as well as the right of everybody to assistance in private and public life. The Act </w:t>
      </w:r>
      <w:r w:rsidR="00947870">
        <w:t>promotes</w:t>
      </w:r>
      <w:r w:rsidR="00AB2874">
        <w:t xml:space="preserve"> an inclusion-based approach </w:t>
      </w:r>
      <w:r w:rsidR="00947870">
        <w:t>and</w:t>
      </w:r>
      <w:r w:rsidR="00E15C7E">
        <w:rPr>
          <w:lang w:val="en-US"/>
        </w:rPr>
        <w:t xml:space="preserve"> enlists a number of social services, covering or specially designed for children and adults with disabilities, including resident-based care for children, substitute care for children and adults, assistance, integrated health and social services. The quality, accessibility and various (time) constraints to such services are a significant vulnerability factor precluding to a large extent the social inclusion of such persons.</w:t>
      </w:r>
      <w:r w:rsidR="00334697">
        <w:rPr>
          <w:lang w:val="en-US"/>
        </w:rPr>
        <w:t xml:space="preserve"> </w:t>
      </w:r>
    </w:p>
    <w:p w14:paraId="1D0EA550" w14:textId="77777777" w:rsidR="00AB2874" w:rsidRDefault="00AB2874" w:rsidP="0032208C">
      <w:pPr>
        <w:pStyle w:val="FRABodyText"/>
        <w:rPr>
          <w:b/>
        </w:rPr>
      </w:pPr>
    </w:p>
    <w:p w14:paraId="0CD3DA28" w14:textId="513352C9" w:rsidR="00BC1915" w:rsidRDefault="00BC1915" w:rsidP="0032208C">
      <w:pPr>
        <w:pStyle w:val="FRABodyText"/>
      </w:pPr>
      <w:r w:rsidRPr="00AD0BD4">
        <w:t>The Labo</w:t>
      </w:r>
      <w:r w:rsidR="00AD0BD4" w:rsidRPr="00AD0BD4">
        <w:rPr>
          <w:lang w:val="en-US"/>
        </w:rPr>
        <w:t>u</w:t>
      </w:r>
      <w:r w:rsidRPr="00AD0BD4">
        <w:t>r Code</w:t>
      </w:r>
      <w:r w:rsidR="00AD0BD4">
        <w:t xml:space="preserve"> </w:t>
      </w:r>
      <w:r w:rsidR="00AD0BD4" w:rsidRPr="00AD0BD4">
        <w:rPr>
          <w:i/>
        </w:rPr>
        <w:t>(</w:t>
      </w:r>
      <w:r w:rsidR="00AD0BD4" w:rsidRPr="00AD0BD4">
        <w:rPr>
          <w:i/>
          <w:lang w:val="bg-BG"/>
        </w:rPr>
        <w:t>Кодекс на труда</w:t>
      </w:r>
      <w:r w:rsidR="00AD0BD4" w:rsidRPr="00AD0BD4">
        <w:rPr>
          <w:i/>
        </w:rPr>
        <w:t>)</w:t>
      </w:r>
      <w:r w:rsidRPr="00AD0BD4">
        <w:rPr>
          <w:rStyle w:val="FootnoteReference"/>
          <w:sz w:val="24"/>
          <w:szCs w:val="24"/>
        </w:rPr>
        <w:footnoteReference w:id="50"/>
      </w:r>
      <w:r w:rsidR="00AD0BD4">
        <w:rPr>
          <w:lang w:val="bg-BG"/>
        </w:rPr>
        <w:t xml:space="preserve"> </w:t>
      </w:r>
      <w:r w:rsidR="00AD0BD4">
        <w:rPr>
          <w:lang w:val="en-US"/>
        </w:rPr>
        <w:t xml:space="preserve">looks at disability as ‘long-term reduction of the </w:t>
      </w:r>
      <w:r w:rsidR="00C6775A">
        <w:rPr>
          <w:lang w:val="en-US"/>
        </w:rPr>
        <w:t xml:space="preserve">work </w:t>
      </w:r>
      <w:r w:rsidR="00AD0BD4">
        <w:rPr>
          <w:lang w:val="en-US"/>
        </w:rPr>
        <w:t xml:space="preserve">ability’ </w:t>
      </w:r>
      <w:r w:rsidR="00AD0BD4" w:rsidRPr="00AD0BD4">
        <w:rPr>
          <w:i/>
          <w:lang w:val="en-US"/>
        </w:rPr>
        <w:t>(</w:t>
      </w:r>
      <w:r w:rsidR="00AD0BD4" w:rsidRPr="00AD0BD4">
        <w:rPr>
          <w:i/>
          <w:lang w:val="bg-BG"/>
        </w:rPr>
        <w:t>трайно намалена работоспособност</w:t>
      </w:r>
      <w:r w:rsidR="00AD0BD4" w:rsidRPr="00AD0BD4">
        <w:rPr>
          <w:i/>
          <w:lang w:val="en-US"/>
        </w:rPr>
        <w:t>)</w:t>
      </w:r>
      <w:r w:rsidR="00AD0BD4">
        <w:rPr>
          <w:lang w:val="bg-BG"/>
        </w:rPr>
        <w:t xml:space="preserve"> </w:t>
      </w:r>
      <w:r w:rsidR="00AD0BD4">
        <w:rPr>
          <w:lang w:val="en-US"/>
        </w:rPr>
        <w:t>and provides for special protection of such people, including offering them another job, if they cannot practice their original functions</w:t>
      </w:r>
      <w:r w:rsidR="00DE36D8">
        <w:rPr>
          <w:lang w:val="en-US"/>
        </w:rPr>
        <w:t>, the creation of special work establishments and units, augmented annual leave.</w:t>
      </w:r>
      <w:r w:rsidR="00CD4234">
        <w:rPr>
          <w:lang w:val="en-US"/>
        </w:rPr>
        <w:t xml:space="preserve"> Thus, the lack of an accessible, adjusted work environment is seen as a decisive vulnerability factor for people with disabilities, hindering their social inclusion. </w:t>
      </w:r>
      <w:r w:rsidRPr="00772393">
        <w:t xml:space="preserve"> </w:t>
      </w:r>
    </w:p>
    <w:p w14:paraId="44A1CBEC" w14:textId="77777777" w:rsidR="002675CC" w:rsidRDefault="002675CC" w:rsidP="0032208C">
      <w:pPr>
        <w:pStyle w:val="FRABodyText"/>
      </w:pPr>
    </w:p>
    <w:p w14:paraId="5C1E32AB" w14:textId="536CF591" w:rsidR="00187EFF" w:rsidRDefault="002675CC" w:rsidP="0032208C">
      <w:pPr>
        <w:pStyle w:val="FRABodyText"/>
        <w:rPr>
          <w:lang w:val="en-US"/>
        </w:rPr>
      </w:pPr>
      <w:r>
        <w:rPr>
          <w:lang w:val="en-US"/>
        </w:rPr>
        <w:t xml:space="preserve">The </w:t>
      </w:r>
      <w:r>
        <w:t xml:space="preserve">Pre-School and School Education Act </w:t>
      </w:r>
      <w:r w:rsidRPr="002D7425">
        <w:rPr>
          <w:i/>
        </w:rPr>
        <w:t>(</w:t>
      </w:r>
      <w:r w:rsidRPr="002D7425">
        <w:rPr>
          <w:i/>
          <w:lang w:val="bg-BG"/>
        </w:rPr>
        <w:t>Закон за предучилищното и училищното образование</w:t>
      </w:r>
      <w:r w:rsidRPr="002D7425">
        <w:rPr>
          <w:i/>
        </w:rPr>
        <w:t>)</w:t>
      </w:r>
      <w:r w:rsidRPr="007025A5">
        <w:rPr>
          <w:rStyle w:val="FootnoteReference"/>
          <w:bCs/>
          <w:sz w:val="24"/>
          <w:szCs w:val="24"/>
          <w:lang w:val="en-US"/>
        </w:rPr>
        <w:footnoteReference w:id="51"/>
      </w:r>
      <w:r>
        <w:rPr>
          <w:i/>
        </w:rPr>
        <w:t xml:space="preserve"> </w:t>
      </w:r>
      <w:r>
        <w:rPr>
          <w:lang w:val="en-US"/>
        </w:rPr>
        <w:t xml:space="preserve">puts inducing tolerance and respect of the rights of children, students and people with disabilities among its main aims, regulates special schools for students with visual or hearing </w:t>
      </w:r>
      <w:r w:rsidR="00CD4234">
        <w:rPr>
          <w:lang w:val="en-US"/>
        </w:rPr>
        <w:t>impairments</w:t>
      </w:r>
      <w:r>
        <w:rPr>
          <w:lang w:val="en-US"/>
        </w:rPr>
        <w:t xml:space="preserve"> and various additional support measures for personal development </w:t>
      </w:r>
      <w:r w:rsidRPr="002675CC">
        <w:rPr>
          <w:i/>
          <w:lang w:val="bg-BG"/>
        </w:rPr>
        <w:t>(</w:t>
      </w:r>
      <w:r>
        <w:rPr>
          <w:i/>
          <w:lang w:val="bg-BG"/>
        </w:rPr>
        <w:t>допълнителна</w:t>
      </w:r>
      <w:r w:rsidRPr="002675CC">
        <w:rPr>
          <w:i/>
          <w:lang w:val="bg-BG"/>
        </w:rPr>
        <w:t xml:space="preserve"> подкрепа за личностно развитие</w:t>
      </w:r>
      <w:r w:rsidRPr="002675CC">
        <w:rPr>
          <w:i/>
          <w:lang w:val="en-US"/>
        </w:rPr>
        <w:t>)</w:t>
      </w:r>
      <w:r>
        <w:rPr>
          <w:lang w:val="bg-BG"/>
        </w:rPr>
        <w:t xml:space="preserve"> </w:t>
      </w:r>
      <w:r>
        <w:rPr>
          <w:lang w:val="en-US"/>
        </w:rPr>
        <w:t xml:space="preserve">and rehabilitation. Importantly, </w:t>
      </w:r>
      <w:r w:rsidR="00BE7BC8">
        <w:rPr>
          <w:lang w:val="en-US"/>
        </w:rPr>
        <w:t>the Act postulates that disciplinary violations as a result of a duly established disability of a student should not be sanctioned.</w:t>
      </w:r>
      <w:r w:rsidR="00CD4234">
        <w:rPr>
          <w:lang w:val="en-US"/>
        </w:rPr>
        <w:t xml:space="preserve"> </w:t>
      </w:r>
      <w:r w:rsidR="008F3F3A">
        <w:rPr>
          <w:lang w:val="en-US"/>
        </w:rPr>
        <w:t>Thus</w:t>
      </w:r>
      <w:r w:rsidR="00CD4234">
        <w:rPr>
          <w:lang w:val="en-US"/>
        </w:rPr>
        <w:t xml:space="preserve">, </w:t>
      </w:r>
      <w:r w:rsidR="00187EFF">
        <w:rPr>
          <w:lang w:val="en-US"/>
        </w:rPr>
        <w:t>the lack of tolerance, special support and due account of the students’ disabilities in the educational environment should count as specific education-related vulnerability factors.</w:t>
      </w:r>
    </w:p>
    <w:p w14:paraId="4348CA56" w14:textId="77777777" w:rsidR="00187EFF" w:rsidRDefault="00187EFF" w:rsidP="0032208C">
      <w:pPr>
        <w:pStyle w:val="FRABodyText"/>
        <w:rPr>
          <w:lang w:val="en-US"/>
        </w:rPr>
      </w:pPr>
    </w:p>
    <w:p w14:paraId="103C9E03" w14:textId="40BB6353" w:rsidR="005B4AD2" w:rsidRPr="00291020" w:rsidRDefault="00FE2D8A" w:rsidP="0032208C">
      <w:pPr>
        <w:pStyle w:val="FRABodyText"/>
      </w:pPr>
      <w:r w:rsidRPr="00FE2D8A">
        <w:rPr>
          <w:lang w:val="en-US"/>
        </w:rPr>
        <w:t xml:space="preserve">The </w:t>
      </w:r>
      <w:r w:rsidR="00BC1915" w:rsidRPr="00FE2D8A">
        <w:t>Spatial Planning Act</w:t>
      </w:r>
      <w:r w:rsidR="007B28F4">
        <w:t xml:space="preserve"> </w:t>
      </w:r>
      <w:r w:rsidR="007B28F4" w:rsidRPr="007B28F4">
        <w:rPr>
          <w:i/>
        </w:rPr>
        <w:t>(</w:t>
      </w:r>
      <w:r w:rsidR="007B28F4" w:rsidRPr="007B28F4">
        <w:rPr>
          <w:i/>
          <w:lang w:val="bg-BG"/>
        </w:rPr>
        <w:t>Закон за устройство на територията</w:t>
      </w:r>
      <w:r w:rsidR="007B28F4" w:rsidRPr="007B28F4">
        <w:rPr>
          <w:i/>
        </w:rPr>
        <w:t>)</w:t>
      </w:r>
      <w:r w:rsidR="00BC1915" w:rsidRPr="00FE2D8A">
        <w:rPr>
          <w:rStyle w:val="FootnoteReference"/>
          <w:sz w:val="24"/>
          <w:szCs w:val="24"/>
        </w:rPr>
        <w:footnoteReference w:id="52"/>
      </w:r>
      <w:r w:rsidR="00926A8C">
        <w:rPr>
          <w:lang w:val="bg-BG"/>
        </w:rPr>
        <w:t xml:space="preserve"> </w:t>
      </w:r>
      <w:r w:rsidR="00926A8C">
        <w:rPr>
          <w:lang w:val="en-US"/>
        </w:rPr>
        <w:t xml:space="preserve">lays out the grounds of the regulation </w:t>
      </w:r>
      <w:r w:rsidR="008316AA">
        <w:rPr>
          <w:lang w:val="en-US"/>
        </w:rPr>
        <w:t xml:space="preserve">of accessibility of environment </w:t>
      </w:r>
      <w:r w:rsidR="00BC1915">
        <w:t xml:space="preserve"> </w:t>
      </w:r>
      <w:r w:rsidR="008316AA">
        <w:t xml:space="preserve">while minimum </w:t>
      </w:r>
      <w:r w:rsidR="0073200B">
        <w:t xml:space="preserve">requirements </w:t>
      </w:r>
      <w:r w:rsidR="008316AA">
        <w:rPr>
          <w:lang w:val="en-US"/>
        </w:rPr>
        <w:t xml:space="preserve">with regard </w:t>
      </w:r>
      <w:r w:rsidR="00BC1915">
        <w:rPr>
          <w:lang w:val="en-US"/>
        </w:rPr>
        <w:t xml:space="preserve">to the design, construction and maintenance, including for the benefit of persons with disabilities, are established in </w:t>
      </w:r>
      <w:r w:rsidR="005B5A27">
        <w:rPr>
          <w:lang w:val="en-US"/>
        </w:rPr>
        <w:t>a special ordinance</w:t>
      </w:r>
      <w:r w:rsidR="00BC1915">
        <w:rPr>
          <w:lang w:val="bg-BG"/>
        </w:rPr>
        <w:t>.</w:t>
      </w:r>
      <w:r w:rsidR="00BC1915">
        <w:rPr>
          <w:rStyle w:val="FootnoteReference"/>
          <w:sz w:val="24"/>
          <w:szCs w:val="24"/>
          <w:lang w:val="bg-BG"/>
        </w:rPr>
        <w:footnoteReference w:id="53"/>
      </w:r>
      <w:r w:rsidR="005B5A27">
        <w:rPr>
          <w:lang w:val="en-US"/>
        </w:rPr>
        <w:t xml:space="preserve"> </w:t>
      </w:r>
      <w:r w:rsidR="005B4AD2">
        <w:rPr>
          <w:lang w:val="en-US"/>
        </w:rPr>
        <w:t xml:space="preserve">Accessible architecture and construction is of extreme </w:t>
      </w:r>
      <w:r w:rsidR="005B4AD2">
        <w:rPr>
          <w:lang w:val="en-US"/>
        </w:rPr>
        <w:lastRenderedPageBreak/>
        <w:t xml:space="preserve">importance for the everyday life of persons with disabilities and thus a decisive vulnerability factor. </w:t>
      </w:r>
    </w:p>
    <w:p w14:paraId="7B6E65D8" w14:textId="77777777" w:rsidR="00A35588" w:rsidRPr="00772393" w:rsidRDefault="00A35588" w:rsidP="0032208C">
      <w:pPr>
        <w:pStyle w:val="FRABodyText"/>
      </w:pPr>
    </w:p>
    <w:p w14:paraId="00086266" w14:textId="77777777" w:rsidR="00F106E0" w:rsidRDefault="00F106E0" w:rsidP="008E576F">
      <w:pPr>
        <w:numPr>
          <w:ilvl w:val="0"/>
          <w:numId w:val="4"/>
        </w:numPr>
        <w:spacing w:line="276" w:lineRule="auto"/>
        <w:rPr>
          <w:b/>
        </w:rPr>
      </w:pPr>
      <w:r w:rsidRPr="00F106E0">
        <w:rPr>
          <w:b/>
        </w:rPr>
        <w:t>Very Young Persons (15-29 y.o.)</w:t>
      </w:r>
    </w:p>
    <w:p w14:paraId="09E41E25" w14:textId="6672A847" w:rsidR="00BC0085" w:rsidRDefault="00A705BE" w:rsidP="0032208C">
      <w:pPr>
        <w:pStyle w:val="FRABodyText"/>
        <w:rPr>
          <w:lang w:val="en-US"/>
        </w:rPr>
      </w:pPr>
      <w:r w:rsidRPr="00A705BE">
        <w:rPr>
          <w:lang w:val="en-US"/>
        </w:rPr>
        <w:t>T</w:t>
      </w:r>
      <w:r w:rsidRPr="00A705BE">
        <w:t xml:space="preserve">he Bulgarian Youth Act </w:t>
      </w:r>
      <w:r w:rsidRPr="00A705BE">
        <w:rPr>
          <w:i/>
        </w:rPr>
        <w:t>(Закон за младежта)</w:t>
      </w:r>
      <w:r w:rsidRPr="00581C1D">
        <w:rPr>
          <w:rStyle w:val="FootnoteReference"/>
        </w:rPr>
        <w:footnoteReference w:id="54"/>
      </w:r>
      <w:r w:rsidR="00581C1D">
        <w:t xml:space="preserve"> </w:t>
      </w:r>
      <w:r w:rsidR="00EE3AB1">
        <w:rPr>
          <w:lang w:val="en-US"/>
        </w:rPr>
        <w:t xml:space="preserve">leaves the analysis of the main challenges before the state’s youth policy to the National Youth Strategy </w:t>
      </w:r>
      <w:r w:rsidR="00EE3AB1" w:rsidRPr="00EE3AB1">
        <w:rPr>
          <w:i/>
          <w:lang w:val="bg-BG"/>
        </w:rPr>
        <w:t>(Национална стратегия за младежта)</w:t>
      </w:r>
      <w:r w:rsidR="00581C1D">
        <w:rPr>
          <w:i/>
        </w:rPr>
        <w:t xml:space="preserve"> </w:t>
      </w:r>
      <w:r w:rsidR="00EE3AB1">
        <w:t>and the strategy’s annual</w:t>
      </w:r>
      <w:r w:rsidR="00EE3AB1">
        <w:rPr>
          <w:lang w:val="bg-BG"/>
        </w:rPr>
        <w:t xml:space="preserve"> </w:t>
      </w:r>
      <w:r w:rsidR="00EE3AB1">
        <w:t xml:space="preserve"> implementation plans </w:t>
      </w:r>
      <w:r w:rsidR="00EE3AB1" w:rsidRPr="00EE3AB1">
        <w:rPr>
          <w:i/>
        </w:rPr>
        <w:t>(</w:t>
      </w:r>
      <w:r w:rsidR="00EE3AB1" w:rsidRPr="00EE3AB1">
        <w:rPr>
          <w:i/>
          <w:lang w:val="bg-BG"/>
        </w:rPr>
        <w:t>годишен план за изпълнение</w:t>
      </w:r>
      <w:r w:rsidR="00EE3AB1" w:rsidRPr="00EE3AB1">
        <w:rPr>
          <w:i/>
        </w:rPr>
        <w:t>)</w:t>
      </w:r>
      <w:r w:rsidR="00EE3AB1">
        <w:t xml:space="preserve">, the national youth programmes </w:t>
      </w:r>
      <w:r w:rsidR="00EE3AB1" w:rsidRPr="00EE3AB1">
        <w:rPr>
          <w:i/>
        </w:rPr>
        <w:t>(</w:t>
      </w:r>
      <w:r w:rsidR="00EE3AB1" w:rsidRPr="00EE3AB1">
        <w:rPr>
          <w:i/>
          <w:lang w:val="bg-BG"/>
        </w:rPr>
        <w:t>национални програми за младежта</w:t>
      </w:r>
      <w:r w:rsidR="00EE3AB1" w:rsidRPr="00EE3AB1">
        <w:rPr>
          <w:i/>
        </w:rPr>
        <w:t>)</w:t>
      </w:r>
      <w:r w:rsidR="00EE3AB1">
        <w:rPr>
          <w:lang w:val="bg-BG"/>
        </w:rPr>
        <w:t xml:space="preserve"> </w:t>
      </w:r>
      <w:r w:rsidR="00EE3AB1">
        <w:t xml:space="preserve">and reports on youth </w:t>
      </w:r>
      <w:r w:rsidR="00EE3AB1" w:rsidRPr="00EE3AB1">
        <w:rPr>
          <w:i/>
        </w:rPr>
        <w:t>(</w:t>
      </w:r>
      <w:r w:rsidR="00EE3AB1" w:rsidRPr="00EE3AB1">
        <w:rPr>
          <w:i/>
          <w:lang w:val="bg-BG"/>
        </w:rPr>
        <w:t>годишен доклад за младежта</w:t>
      </w:r>
      <w:r w:rsidR="00EE3AB1" w:rsidRPr="00EE3AB1">
        <w:rPr>
          <w:i/>
        </w:rPr>
        <w:t>)</w:t>
      </w:r>
      <w:r w:rsidR="00EE3AB1">
        <w:t xml:space="preserve">. </w:t>
      </w:r>
      <w:r w:rsidRPr="00A705BE">
        <w:rPr>
          <w:i/>
        </w:rPr>
        <w:t xml:space="preserve"> </w:t>
      </w:r>
      <w:r w:rsidR="00EE3AB1">
        <w:rPr>
          <w:lang w:val="en-US"/>
        </w:rPr>
        <w:t xml:space="preserve">Powers on regional and municipal level are also regulated, with respective regional and municipal youth plans. </w:t>
      </w:r>
      <w:r w:rsidR="00BC1647">
        <w:rPr>
          <w:lang w:val="en-US"/>
        </w:rPr>
        <w:t xml:space="preserve">There is also a national youth information system </w:t>
      </w:r>
      <w:r w:rsidR="00BC1647" w:rsidRPr="00BC1647">
        <w:rPr>
          <w:i/>
          <w:lang w:val="en-US"/>
        </w:rPr>
        <w:t>(</w:t>
      </w:r>
      <w:r w:rsidR="00BC1647" w:rsidRPr="00BC1647">
        <w:rPr>
          <w:i/>
          <w:lang w:val="bg-BG"/>
        </w:rPr>
        <w:t>национална информационна система за младежта</w:t>
      </w:r>
      <w:r w:rsidR="00BC1647" w:rsidRPr="00BC1647">
        <w:rPr>
          <w:i/>
          <w:lang w:val="en-US"/>
        </w:rPr>
        <w:t>)</w:t>
      </w:r>
      <w:r w:rsidR="00BD216A">
        <w:rPr>
          <w:lang w:val="en-US"/>
        </w:rPr>
        <w:t xml:space="preserve"> containing youth’s current needs.</w:t>
      </w:r>
      <w:r w:rsidR="00BC1647">
        <w:rPr>
          <w:lang w:val="en-US"/>
        </w:rPr>
        <w:t xml:space="preserve"> </w:t>
      </w:r>
    </w:p>
    <w:p w14:paraId="3596D06F" w14:textId="77777777" w:rsidR="00BC0085" w:rsidRDefault="00BC0085" w:rsidP="0032208C">
      <w:pPr>
        <w:pStyle w:val="FRABodyText"/>
        <w:rPr>
          <w:lang w:val="en-US"/>
        </w:rPr>
      </w:pPr>
    </w:p>
    <w:p w14:paraId="0ECCBF08" w14:textId="0682012E" w:rsidR="009137C2" w:rsidRDefault="00BC0085" w:rsidP="0032208C">
      <w:pPr>
        <w:pStyle w:val="FRABodyText"/>
        <w:rPr>
          <w:lang w:val="en-US"/>
        </w:rPr>
      </w:pPr>
      <w:r>
        <w:rPr>
          <w:lang w:val="en-US"/>
        </w:rPr>
        <w:t xml:space="preserve">Specific entitlements, and thus vulnerability factors, for youth are found in different pieces </w:t>
      </w:r>
      <w:r w:rsidR="0085414B">
        <w:rPr>
          <w:lang w:val="en-US"/>
        </w:rPr>
        <w:t xml:space="preserve">of sectoral legislation. </w:t>
      </w:r>
      <w:r w:rsidR="00524778">
        <w:rPr>
          <w:lang w:val="en-US"/>
        </w:rPr>
        <w:t xml:space="preserve">In the Employment Promotion Act </w:t>
      </w:r>
      <w:r w:rsidR="00524778" w:rsidRPr="00524778">
        <w:rPr>
          <w:i/>
          <w:lang w:val="en-US"/>
        </w:rPr>
        <w:t>(</w:t>
      </w:r>
      <w:r w:rsidR="00524778" w:rsidRPr="00524778">
        <w:rPr>
          <w:i/>
          <w:lang w:val="bg-BG"/>
        </w:rPr>
        <w:t>Закон за насърчаване на заетостта</w:t>
      </w:r>
      <w:r w:rsidR="00524778" w:rsidRPr="00524778">
        <w:rPr>
          <w:i/>
          <w:lang w:val="en-US"/>
        </w:rPr>
        <w:t>)</w:t>
      </w:r>
      <w:r w:rsidR="00524778">
        <w:rPr>
          <w:lang w:val="bg-BG"/>
        </w:rPr>
        <w:t>,</w:t>
      </w:r>
      <w:r w:rsidR="00524778">
        <w:rPr>
          <w:rStyle w:val="FootnoteReference"/>
          <w:lang w:val="bg-BG"/>
        </w:rPr>
        <w:footnoteReference w:id="55"/>
      </w:r>
      <w:r w:rsidR="00524778">
        <w:rPr>
          <w:lang w:val="bg-BG"/>
        </w:rPr>
        <w:t xml:space="preserve"> </w:t>
      </w:r>
      <w:r w:rsidR="00524778">
        <w:rPr>
          <w:lang w:val="en-US"/>
        </w:rPr>
        <w:t xml:space="preserve">a special section </w:t>
      </w:r>
      <w:r w:rsidR="00772980">
        <w:rPr>
          <w:lang w:val="en-US"/>
        </w:rPr>
        <w:t>on youth employment exists</w:t>
      </w:r>
      <w:r w:rsidR="00881F01">
        <w:rPr>
          <w:lang w:val="en-US"/>
        </w:rPr>
        <w:t xml:space="preserve">, regulating financial benefits for employers opening </w:t>
      </w:r>
      <w:r w:rsidR="001C4374">
        <w:rPr>
          <w:lang w:val="en-US"/>
        </w:rPr>
        <w:t xml:space="preserve">work, internship or apprenticeship </w:t>
      </w:r>
      <w:r w:rsidR="00881F01">
        <w:rPr>
          <w:lang w:val="en-US"/>
        </w:rPr>
        <w:t xml:space="preserve">positions for unemployed youth, </w:t>
      </w:r>
      <w:r w:rsidR="006E646C">
        <w:rPr>
          <w:lang w:val="en-US"/>
        </w:rPr>
        <w:t>including such</w:t>
      </w:r>
      <w:r w:rsidR="00881F01">
        <w:rPr>
          <w:lang w:val="en-US"/>
        </w:rPr>
        <w:t xml:space="preserve"> with long-term disabilities or using resident-based social services</w:t>
      </w:r>
      <w:r w:rsidR="006E0084">
        <w:rPr>
          <w:lang w:val="en-US"/>
        </w:rPr>
        <w:t>,</w:t>
      </w:r>
      <w:r w:rsidR="00243003">
        <w:rPr>
          <w:lang w:val="en-US"/>
        </w:rPr>
        <w:t xml:space="preserve"> </w:t>
      </w:r>
      <w:r w:rsidR="006E0084">
        <w:rPr>
          <w:lang w:val="en-US"/>
        </w:rPr>
        <w:t xml:space="preserve">all </w:t>
      </w:r>
      <w:r w:rsidR="00A74B20">
        <w:rPr>
          <w:lang w:val="en-US"/>
        </w:rPr>
        <w:t xml:space="preserve">expressly placed among the groups in unequal position on the labour market. In the </w:t>
      </w:r>
      <w:r w:rsidR="00A74B20">
        <w:t xml:space="preserve">Vocational Education and Training Act </w:t>
      </w:r>
      <w:r w:rsidR="00A74B20" w:rsidRPr="00A74B20">
        <w:rPr>
          <w:i/>
        </w:rPr>
        <w:t>(</w:t>
      </w:r>
      <w:r w:rsidR="002A5215" w:rsidRPr="00A74B20">
        <w:rPr>
          <w:i/>
        </w:rPr>
        <w:t>Закон за професионалното обр</w:t>
      </w:r>
      <w:r w:rsidR="00A74B20" w:rsidRPr="00A74B20">
        <w:rPr>
          <w:i/>
          <w:lang w:val="bg-BG"/>
        </w:rPr>
        <w:t>а</w:t>
      </w:r>
      <w:r w:rsidR="002A5215" w:rsidRPr="00A74B20">
        <w:rPr>
          <w:i/>
        </w:rPr>
        <w:t>зование и обучение</w:t>
      </w:r>
      <w:r w:rsidR="00A74B20" w:rsidRPr="00A74B20">
        <w:rPr>
          <w:i/>
          <w:lang w:val="en-US"/>
        </w:rPr>
        <w:t>)</w:t>
      </w:r>
      <w:r w:rsidR="009137C2" w:rsidRPr="009137C2">
        <w:rPr>
          <w:rStyle w:val="FootnoteReference"/>
          <w:lang w:val="en-US"/>
        </w:rPr>
        <w:footnoteReference w:id="56"/>
      </w:r>
      <w:r w:rsidR="009137C2">
        <w:rPr>
          <w:lang w:val="en-US"/>
        </w:rPr>
        <w:t xml:space="preserve">, various framework programmes for students and persons over 16 years of age are regulated. </w:t>
      </w:r>
      <w:r w:rsidR="00AA0B39">
        <w:rPr>
          <w:lang w:val="en-US"/>
        </w:rPr>
        <w:t xml:space="preserve">The </w:t>
      </w:r>
      <w:r w:rsidR="00AA0B39">
        <w:t xml:space="preserve">Pre-School and School Education Act </w:t>
      </w:r>
      <w:r w:rsidR="00AA0B39" w:rsidRPr="002D7425">
        <w:rPr>
          <w:i/>
        </w:rPr>
        <w:t>(</w:t>
      </w:r>
      <w:r w:rsidR="00AA0B39" w:rsidRPr="002D7425">
        <w:rPr>
          <w:i/>
          <w:lang w:val="bg-BG"/>
        </w:rPr>
        <w:t>Закон за предучилищното и училищното образование</w:t>
      </w:r>
      <w:r w:rsidR="00AA0B39" w:rsidRPr="002D7425">
        <w:rPr>
          <w:i/>
        </w:rPr>
        <w:t>)</w:t>
      </w:r>
      <w:r w:rsidR="00AA0B39" w:rsidRPr="007025A5">
        <w:rPr>
          <w:rStyle w:val="FootnoteReference"/>
          <w:bCs/>
          <w:sz w:val="24"/>
          <w:szCs w:val="24"/>
          <w:lang w:val="en-US"/>
        </w:rPr>
        <w:footnoteReference w:id="57"/>
      </w:r>
      <w:r w:rsidR="00702E18">
        <w:rPr>
          <w:i/>
          <w:lang w:val="bg-BG"/>
        </w:rPr>
        <w:t xml:space="preserve"> </w:t>
      </w:r>
      <w:r w:rsidR="00702E18">
        <w:rPr>
          <w:lang w:val="en-US"/>
        </w:rPr>
        <w:t xml:space="preserve">regulates evening schools for persons having completed 16 (or in some cases 14) years of age. </w:t>
      </w:r>
      <w:r w:rsidR="00937049">
        <w:rPr>
          <w:lang w:val="en-US"/>
        </w:rPr>
        <w:t xml:space="preserve">Thus, education, professional qualification and </w:t>
      </w:r>
      <w:r w:rsidR="00012B95">
        <w:rPr>
          <w:lang w:val="en-US"/>
        </w:rPr>
        <w:t xml:space="preserve">employment turn out to be the main vulnerability factors for youth, bringing them into the NEET category, which policy documents tackle in detail. </w:t>
      </w:r>
    </w:p>
    <w:p w14:paraId="1144E80C" w14:textId="0538109D" w:rsidR="00F106E0" w:rsidRPr="002A5215" w:rsidRDefault="00F106E0" w:rsidP="0032208C">
      <w:pPr>
        <w:pStyle w:val="FRABodyText"/>
      </w:pPr>
    </w:p>
    <w:p w14:paraId="17462C61" w14:textId="77777777" w:rsidR="00F106E0" w:rsidRDefault="00F106E0" w:rsidP="008E576F">
      <w:pPr>
        <w:numPr>
          <w:ilvl w:val="0"/>
          <w:numId w:val="4"/>
        </w:numPr>
        <w:spacing w:line="276" w:lineRule="auto"/>
        <w:rPr>
          <w:b/>
        </w:rPr>
      </w:pPr>
      <w:r w:rsidRPr="00F106E0">
        <w:rPr>
          <w:b/>
        </w:rPr>
        <w:t>Older Persons (&gt;55 y.o.)</w:t>
      </w:r>
    </w:p>
    <w:p w14:paraId="2A245964" w14:textId="1B78E126" w:rsidR="009C28A5" w:rsidRPr="009C28A5" w:rsidRDefault="009C28A5" w:rsidP="00395567">
      <w:pPr>
        <w:pStyle w:val="FRABodyText"/>
        <w:rPr>
          <w:lang w:val="en"/>
        </w:rPr>
      </w:pPr>
      <w:r w:rsidRPr="0042099F">
        <w:t>The Constitution of the Republic of Bulgaria</w:t>
      </w:r>
      <w:r w:rsidRPr="009C28A5">
        <w:rPr>
          <w:b/>
          <w:lang w:val="bg-BG"/>
        </w:rPr>
        <w:t xml:space="preserve"> (</w:t>
      </w:r>
      <w:r w:rsidRPr="009C28A5">
        <w:rPr>
          <w:i/>
          <w:lang w:val="bg-BG"/>
        </w:rPr>
        <w:t>Конституция на Република България</w:t>
      </w:r>
      <w:r w:rsidRPr="009C28A5">
        <w:rPr>
          <w:lang w:val="bg-BG"/>
        </w:rPr>
        <w:t>)</w:t>
      </w:r>
      <w:r w:rsidRPr="0042099F">
        <w:t xml:space="preserve"> provides for </w:t>
      </w:r>
      <w:r w:rsidR="00AF224C">
        <w:t>special protection of the</w:t>
      </w:r>
      <w:r w:rsidRPr="009C28A5">
        <w:rPr>
          <w:lang w:val="en"/>
        </w:rPr>
        <w:t xml:space="preserve"> elderly, who have no relatives and cannot support themselves from their property.</w:t>
      </w:r>
      <w:r w:rsidRPr="0042099F">
        <w:rPr>
          <w:rStyle w:val="FootnoteReference"/>
        </w:rPr>
        <w:footnoteReference w:id="58"/>
      </w:r>
      <w:r w:rsidRPr="009C28A5">
        <w:rPr>
          <w:lang w:val="en"/>
        </w:rPr>
        <w:t xml:space="preserve"> </w:t>
      </w:r>
    </w:p>
    <w:p w14:paraId="1D45DA8B" w14:textId="77777777" w:rsidR="009C28A5" w:rsidRPr="009C28A5" w:rsidRDefault="009C28A5" w:rsidP="00395567">
      <w:pPr>
        <w:pStyle w:val="FRABodyText"/>
        <w:rPr>
          <w:rStyle w:val="tlid-translation"/>
          <w:lang w:val="bg-BG"/>
        </w:rPr>
      </w:pPr>
    </w:p>
    <w:p w14:paraId="6E626623" w14:textId="4D61BB1A" w:rsidR="00AE4FF7" w:rsidRDefault="009C28A5" w:rsidP="00395567">
      <w:pPr>
        <w:pStyle w:val="FRABodyText"/>
      </w:pPr>
      <w:r w:rsidRPr="00A34816">
        <w:t xml:space="preserve">The </w:t>
      </w:r>
      <w:r w:rsidR="00191CE5">
        <w:t xml:space="preserve">new </w:t>
      </w:r>
      <w:r w:rsidRPr="00A34816">
        <w:t>Social Services Act (</w:t>
      </w:r>
      <w:r w:rsidRPr="009C28A5">
        <w:rPr>
          <w:i/>
        </w:rPr>
        <w:t>Закон за социалните услуги</w:t>
      </w:r>
      <w:r w:rsidRPr="009C28A5">
        <w:rPr>
          <w:lang w:val="bg-BG"/>
        </w:rPr>
        <w:t>)</w:t>
      </w:r>
      <w:r w:rsidRPr="00A34816">
        <w:rPr>
          <w:rStyle w:val="FootnoteReference"/>
          <w:lang w:val="bg-BG"/>
        </w:rPr>
        <w:footnoteReference w:id="59"/>
      </w:r>
      <w:r w:rsidR="00191CE5">
        <w:rPr>
          <w:lang w:val="en-US"/>
        </w:rPr>
        <w:t xml:space="preserve"> </w:t>
      </w:r>
      <w:r w:rsidRPr="009C28A5">
        <w:rPr>
          <w:lang w:val="en"/>
        </w:rPr>
        <w:t>applies</w:t>
      </w:r>
      <w:r w:rsidR="00191CE5">
        <w:rPr>
          <w:lang w:val="en"/>
        </w:rPr>
        <w:t>,</w:t>
      </w:r>
      <w:r w:rsidRPr="009C28A5">
        <w:rPr>
          <w:lang w:val="en"/>
        </w:rPr>
        <w:t xml:space="preserve"> among others</w:t>
      </w:r>
      <w:r w:rsidR="00191CE5">
        <w:rPr>
          <w:lang w:val="en"/>
        </w:rPr>
        <w:t>,</w:t>
      </w:r>
      <w:r w:rsidRPr="009C28A5">
        <w:rPr>
          <w:lang w:val="en"/>
        </w:rPr>
        <w:t xml:space="preserve"> to </w:t>
      </w:r>
      <w:r w:rsidR="00191CE5">
        <w:rPr>
          <w:lang w:val="en"/>
        </w:rPr>
        <w:t>older people above working age</w:t>
      </w:r>
      <w:r w:rsidR="00935A29">
        <w:rPr>
          <w:lang w:val="en"/>
        </w:rPr>
        <w:t xml:space="preserve">, thus </w:t>
      </w:r>
      <w:r w:rsidR="00946D01">
        <w:rPr>
          <w:lang w:val="en"/>
        </w:rPr>
        <w:t>proclaiming them</w:t>
      </w:r>
      <w:r w:rsidR="00AE4FF7">
        <w:rPr>
          <w:lang w:val="en"/>
        </w:rPr>
        <w:t xml:space="preserve"> vulnerable to social exclusion and </w:t>
      </w:r>
      <w:r w:rsidR="00D45D6D">
        <w:rPr>
          <w:lang w:val="en"/>
        </w:rPr>
        <w:t>low</w:t>
      </w:r>
      <w:r w:rsidR="00AE4FF7">
        <w:rPr>
          <w:lang w:val="en"/>
        </w:rPr>
        <w:t xml:space="preserve"> quality </w:t>
      </w:r>
      <w:r w:rsidR="00AE4FF7">
        <w:rPr>
          <w:lang w:val="en"/>
        </w:rPr>
        <w:lastRenderedPageBreak/>
        <w:t>of life.</w:t>
      </w:r>
      <w:r w:rsidR="00AE4FF7">
        <w:t xml:space="preserve"> </w:t>
      </w:r>
      <w:r w:rsidR="00935A29">
        <w:rPr>
          <w:lang w:val="en-US"/>
        </w:rPr>
        <w:t>The Act regulates</w:t>
      </w:r>
      <w:r w:rsidRPr="00A34816">
        <w:t xml:space="preserve"> the right to substitute </w:t>
      </w:r>
      <w:r w:rsidR="00AE4FF7">
        <w:rPr>
          <w:lang w:val="en-US"/>
        </w:rPr>
        <w:t xml:space="preserve">(home or specialised/resident) </w:t>
      </w:r>
      <w:r w:rsidRPr="00A34816">
        <w:t xml:space="preserve">care </w:t>
      </w:r>
      <w:r w:rsidR="00191CE5">
        <w:t>for persons and families caring</w:t>
      </w:r>
      <w:r w:rsidR="00191CE5">
        <w:rPr>
          <w:lang w:val="en-US"/>
        </w:rPr>
        <w:t xml:space="preserve"> at home</w:t>
      </w:r>
      <w:r w:rsidRPr="00A34816">
        <w:t xml:space="preserve"> for the elderly</w:t>
      </w:r>
      <w:r w:rsidRPr="009C28A5">
        <w:rPr>
          <w:lang w:val="bg-BG"/>
        </w:rPr>
        <w:t xml:space="preserve"> unable to </w:t>
      </w:r>
      <w:r w:rsidR="00191CE5">
        <w:rPr>
          <w:lang w:val="en-US"/>
        </w:rPr>
        <w:t>care for</w:t>
      </w:r>
      <w:r w:rsidRPr="009C28A5">
        <w:rPr>
          <w:lang w:val="bg-BG"/>
        </w:rPr>
        <w:t xml:space="preserve"> themselves</w:t>
      </w:r>
      <w:r w:rsidRPr="00A34816">
        <w:t>.</w:t>
      </w:r>
      <w:r w:rsidR="00191CE5">
        <w:t xml:space="preserve"> </w:t>
      </w:r>
    </w:p>
    <w:p w14:paraId="0D6FC955" w14:textId="77777777" w:rsidR="00AE4FF7" w:rsidRDefault="00AE4FF7" w:rsidP="00395567">
      <w:pPr>
        <w:pStyle w:val="FRABodyText"/>
      </w:pPr>
    </w:p>
    <w:p w14:paraId="60E6EDA4" w14:textId="70A278A6" w:rsidR="00117265" w:rsidRPr="009C28A5" w:rsidRDefault="009C28A5" w:rsidP="0031322A">
      <w:pPr>
        <w:pStyle w:val="FRABodyText"/>
        <w:rPr>
          <w:rStyle w:val="tlid-translation"/>
          <w:lang w:val="en"/>
        </w:rPr>
      </w:pPr>
      <w:r w:rsidRPr="00A34816">
        <w:rPr>
          <w:rStyle w:val="tlid-translation"/>
        </w:rPr>
        <w:t xml:space="preserve">The </w:t>
      </w:r>
      <w:r w:rsidRPr="009C28A5">
        <w:rPr>
          <w:rStyle w:val="tlid-translation"/>
          <w:lang w:val="bg-BG"/>
        </w:rPr>
        <w:t>Employment Promotion Act</w:t>
      </w:r>
      <w:r w:rsidRPr="00A34816">
        <w:rPr>
          <w:rStyle w:val="tlid-translation"/>
        </w:rPr>
        <w:t xml:space="preserve"> (</w:t>
      </w:r>
      <w:r w:rsidRPr="009C28A5">
        <w:rPr>
          <w:rStyle w:val="tlid-translation"/>
          <w:i/>
          <w:lang w:val="bg-BG"/>
        </w:rPr>
        <w:t>Закон за насърчаване на</w:t>
      </w:r>
      <w:r w:rsidRPr="009C28A5">
        <w:rPr>
          <w:rStyle w:val="tlid-translation"/>
          <w:lang w:val="bg-BG"/>
        </w:rPr>
        <w:t xml:space="preserve"> </w:t>
      </w:r>
      <w:r w:rsidRPr="009C28A5">
        <w:rPr>
          <w:rStyle w:val="tlid-translation"/>
          <w:i/>
          <w:lang w:val="bg-BG"/>
        </w:rPr>
        <w:t>заетостта</w:t>
      </w:r>
      <w:r w:rsidRPr="009C28A5">
        <w:rPr>
          <w:rStyle w:val="tlid-translation"/>
          <w:i/>
        </w:rPr>
        <w:t>)</w:t>
      </w:r>
      <w:r w:rsidRPr="0020017B">
        <w:rPr>
          <w:rStyle w:val="FootnoteReference"/>
        </w:rPr>
        <w:footnoteReference w:id="60"/>
      </w:r>
      <w:r w:rsidRPr="00A34816">
        <w:rPr>
          <w:rStyle w:val="tlid-translation"/>
        </w:rPr>
        <w:t xml:space="preserve"> </w:t>
      </w:r>
      <w:r w:rsidR="00472DA0">
        <w:rPr>
          <w:rStyle w:val="tlid-translation"/>
          <w:lang w:val="en-US"/>
        </w:rPr>
        <w:t xml:space="preserve">practically works towards the </w:t>
      </w:r>
      <w:r w:rsidRPr="009C28A5">
        <w:rPr>
          <w:rStyle w:val="tlid-translation"/>
          <w:lang w:val="bg-BG"/>
        </w:rPr>
        <w:t xml:space="preserve">economic integration of persons over 55 </w:t>
      </w:r>
      <w:r>
        <w:rPr>
          <w:rStyle w:val="tlid-translation"/>
        </w:rPr>
        <w:t xml:space="preserve">years </w:t>
      </w:r>
      <w:r w:rsidR="0031322A">
        <w:rPr>
          <w:rStyle w:val="tlid-translation"/>
        </w:rPr>
        <w:t>of age,</w:t>
      </w:r>
      <w:r>
        <w:rPr>
          <w:rStyle w:val="tlid-translation"/>
        </w:rPr>
        <w:t xml:space="preserve"> </w:t>
      </w:r>
      <w:r w:rsidR="00472DA0">
        <w:rPr>
          <w:rStyle w:val="tlid-translation"/>
        </w:rPr>
        <w:t xml:space="preserve">by providing </w:t>
      </w:r>
      <w:r w:rsidRPr="009C28A5">
        <w:rPr>
          <w:rStyle w:val="tlid-translation"/>
          <w:lang w:val="bg-BG"/>
        </w:rPr>
        <w:t>for financing active employ</w:t>
      </w:r>
      <w:r w:rsidR="00D83A72">
        <w:rPr>
          <w:rStyle w:val="tlid-translation"/>
          <w:lang w:val="bg-BG"/>
        </w:rPr>
        <w:t>ment policy measures</w:t>
      </w:r>
      <w:r w:rsidR="00AC6FC4">
        <w:rPr>
          <w:rStyle w:val="tlid-translation"/>
          <w:lang w:val="en-US"/>
        </w:rPr>
        <w:t xml:space="preserve"> </w:t>
      </w:r>
      <w:r>
        <w:rPr>
          <w:rStyle w:val="tlid-translation"/>
        </w:rPr>
        <w:t xml:space="preserve">and </w:t>
      </w:r>
      <w:r w:rsidR="00472DA0">
        <w:rPr>
          <w:rStyle w:val="tlid-translation"/>
        </w:rPr>
        <w:t>regulating</w:t>
      </w:r>
      <w:r w:rsidRPr="00B065B5">
        <w:rPr>
          <w:rStyle w:val="tlid-translation"/>
        </w:rPr>
        <w:t xml:space="preserve"> </w:t>
      </w:r>
      <w:r w:rsidRPr="009C28A5">
        <w:rPr>
          <w:rStyle w:val="tlid-translation"/>
          <w:lang w:val="en"/>
        </w:rPr>
        <w:t>financial incentives to employers who hire persons over 55</w:t>
      </w:r>
      <w:r w:rsidR="0031322A">
        <w:rPr>
          <w:rStyle w:val="tlid-translation"/>
          <w:lang w:val="en"/>
        </w:rPr>
        <w:t xml:space="preserve"> years of age</w:t>
      </w:r>
      <w:r w:rsidRPr="009C28A5">
        <w:rPr>
          <w:rStyle w:val="tlid-translation"/>
          <w:lang w:val="en"/>
        </w:rPr>
        <w:t>.</w:t>
      </w:r>
      <w:r w:rsidR="0031322A">
        <w:rPr>
          <w:rStyle w:val="tlid-translation"/>
          <w:lang w:val="en"/>
        </w:rPr>
        <w:t xml:space="preserve"> </w:t>
      </w:r>
      <w:r w:rsidR="00D83A72">
        <w:rPr>
          <w:rStyle w:val="tlid-translation"/>
          <w:lang w:val="en"/>
        </w:rPr>
        <w:t>Notably, p</w:t>
      </w:r>
      <w:r w:rsidR="0031322A" w:rsidRPr="009C28A5">
        <w:rPr>
          <w:rStyle w:val="tlid-translation"/>
          <w:lang w:val="en"/>
        </w:rPr>
        <w:t xml:space="preserve">ersons </w:t>
      </w:r>
      <w:r w:rsidR="00D83A72">
        <w:rPr>
          <w:rStyle w:val="tlid-translation"/>
          <w:lang w:val="en"/>
        </w:rPr>
        <w:t xml:space="preserve">already </w:t>
      </w:r>
      <w:r w:rsidR="0031322A" w:rsidRPr="009C28A5">
        <w:rPr>
          <w:rStyle w:val="tlid-translation"/>
          <w:lang w:val="en"/>
        </w:rPr>
        <w:t>over 50 years old</w:t>
      </w:r>
      <w:r w:rsidR="0031322A">
        <w:rPr>
          <w:rStyle w:val="tlid-translation"/>
          <w:lang w:val="en"/>
        </w:rPr>
        <w:t xml:space="preserve"> are among the</w:t>
      </w:r>
      <w:r w:rsidR="00117265" w:rsidRPr="009C28A5">
        <w:rPr>
          <w:rStyle w:val="tlid-translation"/>
          <w:lang w:val="en"/>
        </w:rPr>
        <w:t xml:space="preserve"> groups at risk on the labour market.</w:t>
      </w:r>
    </w:p>
    <w:p w14:paraId="6A758316" w14:textId="77777777" w:rsidR="009C28A5" w:rsidRDefault="009C28A5" w:rsidP="00395567">
      <w:pPr>
        <w:pStyle w:val="FRABodyText"/>
        <w:rPr>
          <w:rStyle w:val="tlid-translation"/>
        </w:rPr>
      </w:pPr>
    </w:p>
    <w:p w14:paraId="30EA5D3C" w14:textId="22DFB19F" w:rsidR="00DA3880" w:rsidRDefault="009C28A5" w:rsidP="00395567">
      <w:pPr>
        <w:pStyle w:val="FRABodyText"/>
        <w:rPr>
          <w:rStyle w:val="tlid-translation"/>
          <w:lang w:val="en"/>
        </w:rPr>
      </w:pPr>
      <w:r w:rsidRPr="007F152B">
        <w:rPr>
          <w:rStyle w:val="tlid-translation"/>
        </w:rPr>
        <w:t>The</w:t>
      </w:r>
      <w:r w:rsidRPr="007F152B">
        <w:t xml:space="preserve"> Social Assistance Act</w:t>
      </w:r>
      <w:r w:rsidRPr="009C28A5">
        <w:rPr>
          <w:b/>
        </w:rPr>
        <w:t xml:space="preserve"> </w:t>
      </w:r>
      <w:r w:rsidRPr="007F152B">
        <w:t>(</w:t>
      </w:r>
      <w:r w:rsidRPr="009C28A5">
        <w:rPr>
          <w:i/>
          <w:lang w:val="bg-BG"/>
        </w:rPr>
        <w:t>Закон за социално подпомагане</w:t>
      </w:r>
      <w:r w:rsidRPr="009C28A5">
        <w:rPr>
          <w:i/>
        </w:rPr>
        <w:t>)</w:t>
      </w:r>
      <w:r w:rsidRPr="00472DA0">
        <w:rPr>
          <w:rStyle w:val="FootnoteReference"/>
        </w:rPr>
        <w:footnoteReference w:id="61"/>
      </w:r>
      <w:r w:rsidRPr="009C28A5">
        <w:rPr>
          <w:b/>
          <w:lang w:val="bg-BG"/>
        </w:rPr>
        <w:t xml:space="preserve"> </w:t>
      </w:r>
      <w:r w:rsidR="00AD6A5A">
        <w:rPr>
          <w:bCs/>
          <w:lang w:val="en-US"/>
        </w:rPr>
        <w:t xml:space="preserve">prohibits discrimination based on, among others, age and </w:t>
      </w:r>
      <w:r w:rsidRPr="007F152B">
        <w:t>provides guarantees for the right to social assistance through social benefits for people unable</w:t>
      </w:r>
      <w:r w:rsidR="00472DA0">
        <w:t xml:space="preserve"> </w:t>
      </w:r>
      <w:r w:rsidRPr="007F152B">
        <w:t>to meet their basic necessities</w:t>
      </w:r>
      <w:r w:rsidR="00761ABB">
        <w:t xml:space="preserve"> without the help of another</w:t>
      </w:r>
      <w:r w:rsidR="00D83A72">
        <w:t>,</w:t>
      </w:r>
      <w:r w:rsidR="00761ABB">
        <w:t xml:space="preserve"> </w:t>
      </w:r>
      <w:r w:rsidR="00D83A72">
        <w:t>thus</w:t>
      </w:r>
      <w:r w:rsidR="00761ABB">
        <w:t xml:space="preserve"> supporting their social inclusion</w:t>
      </w:r>
      <w:r w:rsidRPr="009C28A5">
        <w:rPr>
          <w:rStyle w:val="tlid-translation"/>
          <w:lang w:val="en"/>
        </w:rPr>
        <w:t>.</w:t>
      </w:r>
      <w:r w:rsidR="00DA3880">
        <w:rPr>
          <w:rStyle w:val="tlid-translation"/>
          <w:lang w:val="en"/>
        </w:rPr>
        <w:t xml:space="preserve"> Those eligible for social benefits are </w:t>
      </w:r>
      <w:r w:rsidR="00D83A72">
        <w:rPr>
          <w:rStyle w:val="tlid-translation"/>
          <w:lang w:val="en"/>
        </w:rPr>
        <w:t>people</w:t>
      </w:r>
      <w:r w:rsidR="00DA3880">
        <w:rPr>
          <w:rStyle w:val="tlid-translation"/>
          <w:lang w:val="en"/>
        </w:rPr>
        <w:t xml:space="preserve"> who, due to, among others, age reasons cannot meet their needs through their labour, income from property or persons, who should provide them with alimony. </w:t>
      </w:r>
    </w:p>
    <w:p w14:paraId="430B5BEC" w14:textId="77777777" w:rsidR="00A405A9" w:rsidRDefault="00A405A9" w:rsidP="00395567">
      <w:pPr>
        <w:pStyle w:val="FRABodyText"/>
        <w:rPr>
          <w:rStyle w:val="tlid-translation"/>
          <w:lang w:val="en"/>
        </w:rPr>
      </w:pPr>
    </w:p>
    <w:p w14:paraId="25D239FD" w14:textId="7E57AAAE" w:rsidR="00A405A9" w:rsidRPr="00A405A9" w:rsidRDefault="00A405A9" w:rsidP="00395567">
      <w:pPr>
        <w:pStyle w:val="FRABodyText"/>
        <w:rPr>
          <w:rStyle w:val="tlid-translation"/>
          <w:lang w:val="en-US"/>
        </w:rPr>
      </w:pPr>
      <w:r>
        <w:rPr>
          <w:rStyle w:val="tlid-translation"/>
          <w:lang w:val="en-US"/>
        </w:rPr>
        <w:t>Thus, the main vulnerability factors defined by law for older people are their social exclusion and inability to meet their basic needs through labour, income, or families</w:t>
      </w:r>
      <w:r w:rsidR="00A2500D">
        <w:rPr>
          <w:rStyle w:val="tlid-translation"/>
          <w:lang w:val="en-US"/>
        </w:rPr>
        <w:t xml:space="preserve">, and the corresponding capacity </w:t>
      </w:r>
      <w:r>
        <w:rPr>
          <w:rStyle w:val="tlid-translation"/>
          <w:lang w:val="en-US"/>
        </w:rPr>
        <w:t xml:space="preserve">of the social support system </w:t>
      </w:r>
      <w:r w:rsidR="00CB539D">
        <w:rPr>
          <w:rStyle w:val="tlid-translation"/>
          <w:lang w:val="en-US"/>
        </w:rPr>
        <w:t xml:space="preserve">to meet </w:t>
      </w:r>
      <w:r w:rsidR="00A2500D">
        <w:rPr>
          <w:rStyle w:val="tlid-translation"/>
          <w:lang w:val="en-US"/>
        </w:rPr>
        <w:t>those</w:t>
      </w:r>
      <w:r w:rsidR="00CB539D">
        <w:rPr>
          <w:rStyle w:val="tlid-translation"/>
          <w:lang w:val="en-US"/>
        </w:rPr>
        <w:t xml:space="preserve"> needs. </w:t>
      </w:r>
    </w:p>
    <w:p w14:paraId="0E91F84C" w14:textId="2A07861D" w:rsidR="009C28A5" w:rsidRDefault="009C28A5" w:rsidP="00395567">
      <w:pPr>
        <w:pStyle w:val="FRABodyText"/>
        <w:rPr>
          <w:rStyle w:val="tlid-translation"/>
          <w:lang w:val="en"/>
        </w:rPr>
      </w:pPr>
      <w:r w:rsidRPr="009C28A5">
        <w:rPr>
          <w:rStyle w:val="tlid-translation"/>
          <w:lang w:val="en"/>
        </w:rPr>
        <w:t xml:space="preserve"> </w:t>
      </w:r>
    </w:p>
    <w:p w14:paraId="76E01A97" w14:textId="77777777" w:rsidR="00F106E0" w:rsidRDefault="00F106E0" w:rsidP="008E576F">
      <w:pPr>
        <w:numPr>
          <w:ilvl w:val="0"/>
          <w:numId w:val="4"/>
        </w:numPr>
        <w:spacing w:line="276" w:lineRule="auto"/>
        <w:rPr>
          <w:b/>
        </w:rPr>
      </w:pPr>
      <w:r w:rsidRPr="00F106E0">
        <w:rPr>
          <w:b/>
        </w:rPr>
        <w:t>People in Precarious Housing</w:t>
      </w:r>
    </w:p>
    <w:p w14:paraId="4E52CF9C" w14:textId="3EFE5367" w:rsidR="009C28A5" w:rsidRPr="002D18ED" w:rsidRDefault="009C28A5" w:rsidP="00F601BF">
      <w:pPr>
        <w:pStyle w:val="FRABodyText"/>
        <w:rPr>
          <w:lang w:val="bg-BG"/>
        </w:rPr>
      </w:pPr>
      <w:r w:rsidRPr="0042099F">
        <w:rPr>
          <w:rStyle w:val="tlid-translation"/>
        </w:rPr>
        <w:t>The</w:t>
      </w:r>
      <w:r w:rsidRPr="0042099F">
        <w:t xml:space="preserve"> Social Assistance Act</w:t>
      </w:r>
      <w:r w:rsidRPr="0042099F">
        <w:rPr>
          <w:b/>
        </w:rPr>
        <w:t xml:space="preserve"> </w:t>
      </w:r>
      <w:r w:rsidRPr="0042099F">
        <w:t>(</w:t>
      </w:r>
      <w:r w:rsidRPr="0042099F">
        <w:rPr>
          <w:i/>
          <w:lang w:val="bg-BG"/>
        </w:rPr>
        <w:t>Закон за социално подпомагане</w:t>
      </w:r>
      <w:r w:rsidRPr="0042099F">
        <w:rPr>
          <w:i/>
        </w:rPr>
        <w:t>)</w:t>
      </w:r>
      <w:r w:rsidR="00890B55">
        <w:t>,</w:t>
      </w:r>
      <w:r w:rsidRPr="0042099F">
        <w:rPr>
          <w:rStyle w:val="FootnoteReference"/>
          <w:i/>
        </w:rPr>
        <w:footnoteReference w:id="62"/>
      </w:r>
      <w:r w:rsidR="00890B55">
        <w:t xml:space="preserve"> </w:t>
      </w:r>
      <w:r w:rsidR="007B699C">
        <w:t xml:space="preserve">puts housing among people’s basic necessities, along with sufficient food and clothing, thus putting those in precarious housing within the target groups of the Act, vulnerable to social exclusion and low quality of life. </w:t>
      </w:r>
      <w:r>
        <w:t>T</w:t>
      </w:r>
      <w:r w:rsidRPr="00BF0EA5">
        <w:t xml:space="preserve">he </w:t>
      </w:r>
      <w:r w:rsidR="001751D0">
        <w:t xml:space="preserve">new </w:t>
      </w:r>
      <w:r w:rsidRPr="00BF0EA5">
        <w:t xml:space="preserve">Social </w:t>
      </w:r>
      <w:r>
        <w:t>S</w:t>
      </w:r>
      <w:r w:rsidRPr="00BF0EA5">
        <w:t>ervices Act</w:t>
      </w:r>
      <w:r w:rsidRPr="00BF0EA5">
        <w:rPr>
          <w:lang w:val="bg-BG"/>
        </w:rPr>
        <w:t xml:space="preserve"> (</w:t>
      </w:r>
      <w:r w:rsidRPr="00BF0EA5">
        <w:rPr>
          <w:i/>
        </w:rPr>
        <w:t>Закон за социалните услуги</w:t>
      </w:r>
      <w:r w:rsidRPr="00BF0EA5">
        <w:rPr>
          <w:lang w:val="bg-BG"/>
        </w:rPr>
        <w:t>)</w:t>
      </w:r>
      <w:r w:rsidRPr="00BF0EA5">
        <w:rPr>
          <w:rStyle w:val="FootnoteReference"/>
          <w:lang w:val="bg-BG"/>
        </w:rPr>
        <w:footnoteReference w:id="63"/>
      </w:r>
      <w:r w:rsidR="001751D0">
        <w:rPr>
          <w:lang w:val="en-US"/>
        </w:rPr>
        <w:t xml:space="preserve"> </w:t>
      </w:r>
      <w:r w:rsidR="00DA6C3C">
        <w:t xml:space="preserve">proclaims the </w:t>
      </w:r>
      <w:r w:rsidR="00614A47">
        <w:t xml:space="preserve">(free of charge) </w:t>
      </w:r>
      <w:r w:rsidR="00DA6C3C">
        <w:t>p</w:t>
      </w:r>
      <w:r w:rsidRPr="00BF0EA5">
        <w:t>rovision of shelter as a social service</w:t>
      </w:r>
      <w:r w:rsidR="00614A47">
        <w:rPr>
          <w:lang w:val="en-US"/>
        </w:rPr>
        <w:t xml:space="preserve">, defined as </w:t>
      </w:r>
      <w:r w:rsidRPr="00BF0EA5">
        <w:t xml:space="preserve">temporary </w:t>
      </w:r>
      <w:r w:rsidR="004412F6">
        <w:t xml:space="preserve">part-time </w:t>
      </w:r>
      <w:r w:rsidRPr="00BF0EA5">
        <w:t xml:space="preserve">accommodation of homeless persons and families and temporary </w:t>
      </w:r>
      <w:r w:rsidR="00A2500D">
        <w:t xml:space="preserve">safe </w:t>
      </w:r>
      <w:r w:rsidRPr="00BF0EA5">
        <w:t>accommodation of persons in crisis situation</w:t>
      </w:r>
      <w:r w:rsidR="00614A47">
        <w:t>s</w:t>
      </w:r>
      <w:r w:rsidRPr="00BF0EA5">
        <w:t xml:space="preserve"> and victims of domestic violence and </w:t>
      </w:r>
      <w:r w:rsidR="00614A47">
        <w:t>human</w:t>
      </w:r>
      <w:r w:rsidRPr="00BF0EA5">
        <w:t xml:space="preserve"> trafficking. </w:t>
      </w:r>
    </w:p>
    <w:p w14:paraId="28F6AA36" w14:textId="77777777" w:rsidR="00614A47" w:rsidRDefault="00614A47" w:rsidP="00F601BF">
      <w:pPr>
        <w:pStyle w:val="FRABodyText"/>
      </w:pPr>
    </w:p>
    <w:p w14:paraId="3C29014D" w14:textId="56D0C9CF" w:rsidR="009C28A5" w:rsidRDefault="009C28A5" w:rsidP="00F601BF">
      <w:pPr>
        <w:pStyle w:val="FRABodyText"/>
        <w:rPr>
          <w:rStyle w:val="tlid-translation"/>
          <w:lang w:val="en"/>
        </w:rPr>
      </w:pPr>
      <w:r w:rsidRPr="00BE74FD">
        <w:t>The Municipal Property Act</w:t>
      </w:r>
      <w:r w:rsidRPr="00422890">
        <w:rPr>
          <w:lang w:val="bg-BG"/>
        </w:rPr>
        <w:t xml:space="preserve"> </w:t>
      </w:r>
      <w:r w:rsidRPr="00422890">
        <w:t>(</w:t>
      </w:r>
      <w:r w:rsidRPr="00BE74FD">
        <w:rPr>
          <w:i/>
        </w:rPr>
        <w:t>Закон за общинската собственост)</w:t>
      </w:r>
      <w:r w:rsidRPr="00422890">
        <w:t>,</w:t>
      </w:r>
      <w:r w:rsidR="000C0855" w:rsidRPr="000C0855">
        <w:rPr>
          <w:rStyle w:val="FootnoteReference"/>
        </w:rPr>
        <w:footnoteReference w:id="64"/>
      </w:r>
      <w:r w:rsidRPr="00422890">
        <w:t xml:space="preserve"> provides </w:t>
      </w:r>
      <w:r w:rsidRPr="00422890">
        <w:rPr>
          <w:rStyle w:val="tlid-translation"/>
          <w:lang w:val="en"/>
        </w:rPr>
        <w:t>for renting municipal houses to citizens with established housing needs</w:t>
      </w:r>
      <w:r w:rsidR="004412F6">
        <w:rPr>
          <w:rStyle w:val="tlid-translation"/>
          <w:lang w:val="en"/>
        </w:rPr>
        <w:t>.</w:t>
      </w:r>
      <w:r w:rsidRPr="00422890">
        <w:rPr>
          <w:rStyle w:val="tlid-translation"/>
          <w:lang w:val="en"/>
        </w:rPr>
        <w:t xml:space="preserve"> </w:t>
      </w:r>
      <w:r>
        <w:rPr>
          <w:rStyle w:val="tlid-translation"/>
          <w:lang w:val="en"/>
        </w:rPr>
        <w:t xml:space="preserve">It also provides </w:t>
      </w:r>
      <w:r w:rsidRPr="00422890">
        <w:rPr>
          <w:rStyle w:val="tlid-translation"/>
          <w:lang w:val="en"/>
        </w:rPr>
        <w:t xml:space="preserve">for accommodating </w:t>
      </w:r>
      <w:r w:rsidRPr="00422890">
        <w:rPr>
          <w:rStyle w:val="tlid-translation"/>
        </w:rPr>
        <w:t xml:space="preserve">in </w:t>
      </w:r>
      <w:r w:rsidRPr="00A64562">
        <w:rPr>
          <w:rStyle w:val="tlid-translation"/>
        </w:rPr>
        <w:t>reserve</w:t>
      </w:r>
      <w:r w:rsidRPr="00422890">
        <w:rPr>
          <w:rStyle w:val="tlid-translation"/>
        </w:rPr>
        <w:t xml:space="preserve"> dwellings (backup housing)</w:t>
      </w:r>
      <w:r w:rsidR="004412F6">
        <w:rPr>
          <w:rStyle w:val="tlid-translation"/>
        </w:rPr>
        <w:t xml:space="preserve"> for not more than two years</w:t>
      </w:r>
      <w:r w:rsidRPr="00422890">
        <w:rPr>
          <w:rStyle w:val="tlid-translation"/>
        </w:rPr>
        <w:t xml:space="preserve"> persons wh</w:t>
      </w:r>
      <w:r w:rsidR="00A64562">
        <w:rPr>
          <w:rStyle w:val="tlid-translation"/>
        </w:rPr>
        <w:t>ose</w:t>
      </w:r>
      <w:r w:rsidRPr="00422890">
        <w:rPr>
          <w:rStyle w:val="tlid-translation"/>
        </w:rPr>
        <w:t xml:space="preserve"> houses have become uninhabitable as a result of disasters and accidents or are </w:t>
      </w:r>
      <w:r w:rsidR="00A64562">
        <w:rPr>
          <w:rStyle w:val="tlid-translation"/>
        </w:rPr>
        <w:t>threatened</w:t>
      </w:r>
      <w:r w:rsidRPr="00422890">
        <w:rPr>
          <w:rStyle w:val="tlid-translation"/>
        </w:rPr>
        <w:t xml:space="preserve"> by self-destruction or </w:t>
      </w:r>
      <w:r w:rsidR="00A64562">
        <w:rPr>
          <w:rStyle w:val="tlid-translation"/>
        </w:rPr>
        <w:t>where</w:t>
      </w:r>
      <w:r w:rsidRPr="00422890">
        <w:rPr>
          <w:rStyle w:val="tlid-translation"/>
        </w:rPr>
        <w:t xml:space="preserve"> families </w:t>
      </w:r>
      <w:r w:rsidR="00A64562">
        <w:rPr>
          <w:rStyle w:val="tlid-translation"/>
        </w:rPr>
        <w:t>have</w:t>
      </w:r>
      <w:r w:rsidRPr="00422890">
        <w:rPr>
          <w:rStyle w:val="tlid-translation"/>
        </w:rPr>
        <w:t xml:space="preserve"> acute social or health problems. </w:t>
      </w:r>
      <w:r w:rsidR="00A2500D">
        <w:rPr>
          <w:rStyle w:val="tlid-translation"/>
          <w:lang w:val="en"/>
        </w:rPr>
        <w:t>H</w:t>
      </w:r>
      <w:r w:rsidRPr="00422890">
        <w:rPr>
          <w:rStyle w:val="tlid-translation"/>
          <w:lang w:val="en"/>
        </w:rPr>
        <w:t xml:space="preserve">ousing needs </w:t>
      </w:r>
      <w:r w:rsidR="00A2500D">
        <w:rPr>
          <w:rStyle w:val="tlid-translation"/>
          <w:lang w:val="en"/>
        </w:rPr>
        <w:t>are</w:t>
      </w:r>
      <w:r w:rsidRPr="00422890">
        <w:rPr>
          <w:rStyle w:val="tlid-translation"/>
          <w:lang w:val="en"/>
        </w:rPr>
        <w:t xml:space="preserve"> established according to </w:t>
      </w:r>
      <w:r w:rsidR="007E181F">
        <w:rPr>
          <w:rStyle w:val="tlid-translation"/>
          <w:lang w:val="en"/>
        </w:rPr>
        <w:t>regulations of municipal councils, two examples following below.</w:t>
      </w:r>
      <w:r>
        <w:rPr>
          <w:rStyle w:val="tlid-translation"/>
          <w:lang w:val="en"/>
        </w:rPr>
        <w:t xml:space="preserve"> </w:t>
      </w:r>
    </w:p>
    <w:p w14:paraId="0C23CD07" w14:textId="615175D9" w:rsidR="009C28A5" w:rsidRDefault="009C28A5" w:rsidP="00F601BF">
      <w:pPr>
        <w:pStyle w:val="FRABodyText"/>
        <w:rPr>
          <w:rStyle w:val="tlid-translation"/>
          <w:lang w:val="en"/>
        </w:rPr>
      </w:pPr>
    </w:p>
    <w:p w14:paraId="645A48EF" w14:textId="3E453FE3" w:rsidR="009C28A5" w:rsidRDefault="009C28A5" w:rsidP="00F601BF">
      <w:pPr>
        <w:pStyle w:val="FRABodyText"/>
        <w:rPr>
          <w:rFonts w:eastAsiaTheme="minorHAnsi"/>
        </w:rPr>
      </w:pPr>
      <w:r w:rsidRPr="00523D97">
        <w:lastRenderedPageBreak/>
        <w:t xml:space="preserve">The </w:t>
      </w:r>
      <w:r w:rsidR="00E720C7">
        <w:t>Sofia municipality housing regulation</w:t>
      </w:r>
      <w:r w:rsidRPr="009154AB">
        <w:rPr>
          <w:rStyle w:val="FootnoteReference"/>
          <w:color w:val="000000"/>
        </w:rPr>
        <w:footnoteReference w:id="65"/>
      </w:r>
      <w:r w:rsidR="00E720C7">
        <w:t xml:space="preserve"> </w:t>
      </w:r>
      <w:r w:rsidRPr="00523D97">
        <w:rPr>
          <w:color w:val="000000"/>
        </w:rPr>
        <w:t xml:space="preserve">defines the scope of "municipal residential properties"  as well as </w:t>
      </w:r>
      <w:r w:rsidRPr="00523D97">
        <w:rPr>
          <w:color w:val="000000"/>
          <w:lang w:val="bg-BG"/>
        </w:rPr>
        <w:t xml:space="preserve">their </w:t>
      </w:r>
      <w:r w:rsidRPr="00523D97">
        <w:rPr>
          <w:color w:val="000000"/>
        </w:rPr>
        <w:t xml:space="preserve">purposes among which are renting to persons with established housing needs and accommodating persons in </w:t>
      </w:r>
      <w:r w:rsidR="003544AE">
        <w:rPr>
          <w:color w:val="000000"/>
        </w:rPr>
        <w:t>reserve</w:t>
      </w:r>
      <w:r w:rsidRPr="00523D97">
        <w:rPr>
          <w:color w:val="000000"/>
        </w:rPr>
        <w:t xml:space="preserve"> dwellings (backup housing)</w:t>
      </w:r>
      <w:r>
        <w:rPr>
          <w:color w:val="000000"/>
        </w:rPr>
        <w:t>.</w:t>
      </w:r>
      <w:r w:rsidRPr="00523D97">
        <w:rPr>
          <w:color w:val="000000"/>
        </w:rPr>
        <w:t xml:space="preserve"> Th</w:t>
      </w:r>
      <w:r w:rsidR="003544AE">
        <w:rPr>
          <w:color w:val="000000"/>
        </w:rPr>
        <w:t>e regulation</w:t>
      </w:r>
      <w:r w:rsidRPr="00523D97">
        <w:rPr>
          <w:color w:val="000000"/>
        </w:rPr>
        <w:t xml:space="preserve"> determines the </w:t>
      </w:r>
      <w:r w:rsidR="003544AE">
        <w:rPr>
          <w:color w:val="000000"/>
        </w:rPr>
        <w:t xml:space="preserve">criteria </w:t>
      </w:r>
      <w:r w:rsidRPr="00523D97">
        <w:rPr>
          <w:color w:val="000000"/>
        </w:rPr>
        <w:t xml:space="preserve">which the candidates must meet and </w:t>
      </w:r>
      <w:r w:rsidRPr="00523D97">
        <w:rPr>
          <w:color w:val="000000"/>
          <w:lang w:val="bg-BG"/>
        </w:rPr>
        <w:t xml:space="preserve">regulates the conditions and procedures for </w:t>
      </w:r>
      <w:r w:rsidRPr="00523D97">
        <w:rPr>
          <w:color w:val="000000"/>
        </w:rPr>
        <w:t>application, establishing housing needs, grades of housing neediness</w:t>
      </w:r>
      <w:r w:rsidRPr="00523D97">
        <w:rPr>
          <w:color w:val="000000"/>
          <w:lang w:val="bg-BG"/>
        </w:rPr>
        <w:t xml:space="preserve"> </w:t>
      </w:r>
      <w:r w:rsidRPr="00523D97">
        <w:rPr>
          <w:color w:val="000000"/>
        </w:rPr>
        <w:t xml:space="preserve">and </w:t>
      </w:r>
      <w:r w:rsidRPr="00523D97">
        <w:rPr>
          <w:color w:val="000000"/>
          <w:lang w:val="bg-BG"/>
        </w:rPr>
        <w:t>accommodati</w:t>
      </w:r>
      <w:r w:rsidRPr="00523D97">
        <w:rPr>
          <w:color w:val="000000"/>
        </w:rPr>
        <w:t>on</w:t>
      </w:r>
      <w:r w:rsidRPr="00523D97">
        <w:rPr>
          <w:color w:val="000000"/>
          <w:lang w:val="bg-BG"/>
        </w:rPr>
        <w:t xml:space="preserve"> </w:t>
      </w:r>
      <w:r w:rsidRPr="00523D97">
        <w:rPr>
          <w:color w:val="000000"/>
        </w:rPr>
        <w:t>for rent. It also</w:t>
      </w:r>
      <w:r w:rsidRPr="00523D97">
        <w:t xml:space="preserve"> </w:t>
      </w:r>
      <w:r w:rsidRPr="00523D97">
        <w:rPr>
          <w:color w:val="000000"/>
        </w:rPr>
        <w:t>prescribes the procedure for</w:t>
      </w:r>
      <w:r w:rsidR="003544AE">
        <w:rPr>
          <w:color w:val="000000"/>
        </w:rPr>
        <w:t xml:space="preserve"> </w:t>
      </w:r>
      <w:r w:rsidRPr="00523D97">
        <w:rPr>
          <w:color w:val="000000"/>
        </w:rPr>
        <w:t>temporary accommodation</w:t>
      </w:r>
      <w:r w:rsidRPr="00523D97">
        <w:rPr>
          <w:color w:val="000000"/>
          <w:lang w:val="bg-BG"/>
        </w:rPr>
        <w:t xml:space="preserve"> </w:t>
      </w:r>
      <w:r w:rsidRPr="00523D97">
        <w:rPr>
          <w:color w:val="000000"/>
        </w:rPr>
        <w:t>in reserve</w:t>
      </w:r>
      <w:r w:rsidRPr="00523D97">
        <w:rPr>
          <w:color w:val="000000"/>
          <w:lang w:val="bg-BG"/>
        </w:rPr>
        <w:t xml:space="preserve"> </w:t>
      </w:r>
      <w:r w:rsidRPr="00523D97">
        <w:rPr>
          <w:color w:val="000000"/>
        </w:rPr>
        <w:t>dwellings.</w:t>
      </w:r>
      <w:r w:rsidR="00A2500D">
        <w:rPr>
          <w:color w:val="000000"/>
        </w:rPr>
        <w:t xml:space="preserve"> </w:t>
      </w:r>
      <w:r w:rsidRPr="00183B13">
        <w:rPr>
          <w:rFonts w:eastAsiaTheme="minorHAnsi"/>
        </w:rPr>
        <w:t xml:space="preserve">The </w:t>
      </w:r>
      <w:r w:rsidR="00C40460">
        <w:rPr>
          <w:rFonts w:eastAsiaTheme="minorHAnsi"/>
        </w:rPr>
        <w:t>Plovdiv municipality housing regulation</w:t>
      </w:r>
      <w:r w:rsidRPr="00183B13">
        <w:rPr>
          <w:rStyle w:val="FootnoteReference"/>
          <w:rFonts w:eastAsiaTheme="minorHAnsi"/>
        </w:rPr>
        <w:footnoteReference w:id="66"/>
      </w:r>
      <w:r w:rsidR="00A2500D">
        <w:rPr>
          <w:rFonts w:eastAsiaTheme="minorHAnsi"/>
        </w:rPr>
        <w:t xml:space="preserve"> has very similar provisions</w:t>
      </w:r>
      <w:r w:rsidRPr="00183B13">
        <w:rPr>
          <w:rFonts w:eastAsiaTheme="minorHAnsi"/>
        </w:rPr>
        <w:t>.</w:t>
      </w:r>
    </w:p>
    <w:p w14:paraId="39346199" w14:textId="77777777" w:rsidR="006845FA" w:rsidRDefault="006845FA" w:rsidP="00F601BF">
      <w:pPr>
        <w:pStyle w:val="FRABodyText"/>
        <w:rPr>
          <w:rFonts w:eastAsiaTheme="minorHAnsi"/>
        </w:rPr>
      </w:pPr>
    </w:p>
    <w:p w14:paraId="2990F091" w14:textId="61F5D70F" w:rsidR="006845FA" w:rsidRDefault="006845FA" w:rsidP="00F601BF">
      <w:pPr>
        <w:pStyle w:val="FRABodyText"/>
        <w:rPr>
          <w:rFonts w:eastAsiaTheme="minorHAnsi"/>
          <w:lang w:val="en-US"/>
        </w:rPr>
      </w:pPr>
      <w:r>
        <w:rPr>
          <w:rFonts w:eastAsiaTheme="minorHAnsi"/>
          <w:lang w:val="en-US"/>
        </w:rPr>
        <w:t>Thus, Bulgarian legislation mainly delin</w:t>
      </w:r>
      <w:r w:rsidR="002048E6">
        <w:rPr>
          <w:rFonts w:eastAsiaTheme="minorHAnsi"/>
          <w:lang w:val="en-US"/>
        </w:rPr>
        <w:t xml:space="preserve">eates various factors related and leading to </w:t>
      </w:r>
      <w:r>
        <w:rPr>
          <w:rFonts w:eastAsiaTheme="minorHAnsi"/>
          <w:lang w:val="en-US"/>
        </w:rPr>
        <w:t xml:space="preserve">homelessness and does not </w:t>
      </w:r>
      <w:r w:rsidR="002048E6">
        <w:rPr>
          <w:rFonts w:eastAsiaTheme="minorHAnsi"/>
          <w:lang w:val="en-US"/>
        </w:rPr>
        <w:t xml:space="preserve">practically tackle </w:t>
      </w:r>
      <w:r>
        <w:rPr>
          <w:rFonts w:eastAsiaTheme="minorHAnsi"/>
          <w:lang w:val="en-US"/>
        </w:rPr>
        <w:t xml:space="preserve">precarious housing. </w:t>
      </w:r>
    </w:p>
    <w:p w14:paraId="76ACD848" w14:textId="77777777" w:rsidR="009C28A5" w:rsidRDefault="009C28A5" w:rsidP="00F601BF">
      <w:pPr>
        <w:pStyle w:val="FRABodyText"/>
        <w:rPr>
          <w:rFonts w:eastAsiaTheme="minorHAnsi"/>
          <w:highlight w:val="yellow"/>
        </w:rPr>
      </w:pPr>
    </w:p>
    <w:p w14:paraId="07ED087F" w14:textId="77777777" w:rsidR="00F106E0" w:rsidRDefault="00F106E0" w:rsidP="008E576F">
      <w:pPr>
        <w:numPr>
          <w:ilvl w:val="0"/>
          <w:numId w:val="4"/>
        </w:numPr>
        <w:spacing w:line="276" w:lineRule="auto"/>
        <w:rPr>
          <w:b/>
        </w:rPr>
      </w:pPr>
      <w:r w:rsidRPr="00F106E0">
        <w:rPr>
          <w:b/>
        </w:rPr>
        <w:t xml:space="preserve">Third-Country Nationals </w:t>
      </w:r>
    </w:p>
    <w:p w14:paraId="5628AEA2" w14:textId="32A8A7EE" w:rsidR="00A764E6" w:rsidRPr="00A764E6" w:rsidRDefault="00AF453C" w:rsidP="0032208C">
      <w:pPr>
        <w:pStyle w:val="FRABodyText"/>
        <w:rPr>
          <w:lang w:val="bg-BG"/>
        </w:rPr>
      </w:pPr>
      <w:r>
        <w:rPr>
          <w:lang w:val="en-US"/>
        </w:rPr>
        <w:t>T</w:t>
      </w:r>
      <w:r w:rsidR="0073200B">
        <w:rPr>
          <w:lang w:val="en-US"/>
        </w:rPr>
        <w:t>he</w:t>
      </w:r>
      <w:r w:rsidR="008C6A40" w:rsidRPr="008067E7">
        <w:rPr>
          <w:lang w:val="en-US"/>
        </w:rPr>
        <w:t xml:space="preserve"> </w:t>
      </w:r>
      <w:r w:rsidR="008C6A40" w:rsidRPr="008067E7">
        <w:t>Protection Against Discrimination Act</w:t>
      </w:r>
      <w:r w:rsidR="008C6A40">
        <w:t xml:space="preserve"> </w:t>
      </w:r>
      <w:r w:rsidR="008C6A40" w:rsidRPr="004F5D5E">
        <w:rPr>
          <w:i/>
        </w:rPr>
        <w:t>(</w:t>
      </w:r>
      <w:r w:rsidR="008C6A40" w:rsidRPr="004F5D5E">
        <w:rPr>
          <w:i/>
          <w:lang w:val="bg-BG"/>
        </w:rPr>
        <w:t>Закон за защита от дискриминация</w:t>
      </w:r>
      <w:r w:rsidR="008C6A40" w:rsidRPr="004F5D5E">
        <w:rPr>
          <w:i/>
        </w:rPr>
        <w:t>)</w:t>
      </w:r>
      <w:r w:rsidR="00483877">
        <w:rPr>
          <w:i/>
          <w:lang w:val="bg-BG"/>
        </w:rPr>
        <w:t xml:space="preserve"> </w:t>
      </w:r>
      <w:r w:rsidR="008C6A40">
        <w:t>protects against</w:t>
      </w:r>
      <w:r w:rsidR="008C6A40" w:rsidRPr="00160D8E">
        <w:t xml:space="preserve"> </w:t>
      </w:r>
      <w:r w:rsidR="008C6A40">
        <w:t xml:space="preserve">any form of discrimination based on, </w:t>
      </w:r>
      <w:r w:rsidR="008C6A40">
        <w:rPr>
          <w:lang w:val="en-US"/>
        </w:rPr>
        <w:t>among others, nationality and citizenship.</w:t>
      </w:r>
      <w:r w:rsidR="008C6A40">
        <w:rPr>
          <w:rStyle w:val="FootnoteReference"/>
          <w:sz w:val="24"/>
          <w:szCs w:val="24"/>
        </w:rPr>
        <w:footnoteReference w:id="67"/>
      </w:r>
    </w:p>
    <w:p w14:paraId="50BFA20F" w14:textId="77777777" w:rsidR="008C6A40" w:rsidRDefault="008C6A40" w:rsidP="0032208C">
      <w:pPr>
        <w:pStyle w:val="FRABodyText"/>
        <w:rPr>
          <w:lang w:val="en-US"/>
        </w:rPr>
      </w:pPr>
    </w:p>
    <w:p w14:paraId="307A879A" w14:textId="046B9D19" w:rsidR="00DE50BA" w:rsidRPr="009D733D" w:rsidRDefault="00A764E6" w:rsidP="0032208C">
      <w:pPr>
        <w:pStyle w:val="FRABodyText"/>
        <w:rPr>
          <w:lang w:val="en-US"/>
        </w:rPr>
      </w:pPr>
      <w:r>
        <w:rPr>
          <w:lang w:val="en-US"/>
        </w:rPr>
        <w:t>The Asylum and Refugees Act</w:t>
      </w:r>
      <w:r>
        <w:rPr>
          <w:lang w:val="bg-BG"/>
        </w:rPr>
        <w:t xml:space="preserve"> </w:t>
      </w:r>
      <w:r w:rsidRPr="006E081A">
        <w:rPr>
          <w:i/>
          <w:lang w:val="bg-BG"/>
        </w:rPr>
        <w:t>(Закон за убежището и бежанците)</w:t>
      </w:r>
      <w:r>
        <w:rPr>
          <w:rStyle w:val="FootnoteReference"/>
          <w:i/>
          <w:lang w:val="bg-BG"/>
        </w:rPr>
        <w:footnoteReference w:id="68"/>
      </w:r>
      <w:r w:rsidR="00BA79CA">
        <w:rPr>
          <w:lang w:val="en-US"/>
        </w:rPr>
        <w:t xml:space="preserve"> </w:t>
      </w:r>
      <w:r w:rsidR="00E70050">
        <w:rPr>
          <w:lang w:val="en-US"/>
        </w:rPr>
        <w:t xml:space="preserve">regulates </w:t>
      </w:r>
      <w:r w:rsidR="0071490C">
        <w:rPr>
          <w:lang w:val="en-US"/>
        </w:rPr>
        <w:t>the international protection procedure and thus a number of potential vulnerability aspects</w:t>
      </w:r>
      <w:r w:rsidR="004A4C8F">
        <w:rPr>
          <w:lang w:val="en-US"/>
        </w:rPr>
        <w:t xml:space="preserve"> for third country nationals</w:t>
      </w:r>
      <w:r w:rsidR="007A2C33">
        <w:rPr>
          <w:lang w:val="en-US"/>
        </w:rPr>
        <w:t xml:space="preserve"> involved</w:t>
      </w:r>
      <w:r w:rsidR="0071490C">
        <w:rPr>
          <w:lang w:val="en-US"/>
        </w:rPr>
        <w:t>.</w:t>
      </w:r>
      <w:r w:rsidR="00740216">
        <w:rPr>
          <w:lang w:val="en-US"/>
        </w:rPr>
        <w:t xml:space="preserve"> </w:t>
      </w:r>
      <w:r w:rsidR="00151573">
        <w:rPr>
          <w:lang w:val="en-US"/>
        </w:rPr>
        <w:t xml:space="preserve">The state should create conditions for foreigners to receive legal aid, which is a traditionally problematic </w:t>
      </w:r>
      <w:r w:rsidR="0037489B">
        <w:rPr>
          <w:lang w:val="en-US"/>
        </w:rPr>
        <w:t xml:space="preserve">procedural </w:t>
      </w:r>
      <w:r w:rsidR="00151573">
        <w:rPr>
          <w:lang w:val="en-US"/>
        </w:rPr>
        <w:t>area</w:t>
      </w:r>
      <w:r w:rsidR="0037489B">
        <w:rPr>
          <w:lang w:val="en-US"/>
        </w:rPr>
        <w:t xml:space="preserve">, together with </w:t>
      </w:r>
      <w:r w:rsidR="00151573">
        <w:rPr>
          <w:lang w:val="en-US"/>
        </w:rPr>
        <w:t xml:space="preserve">interpretation/translation and understandable information. </w:t>
      </w:r>
      <w:r w:rsidR="00BC4730">
        <w:rPr>
          <w:lang w:val="en-US"/>
        </w:rPr>
        <w:t xml:space="preserve">All foreigners seeking or having received protection have the right to profess their religion in accordance with the </w:t>
      </w:r>
      <w:r w:rsidR="00E70050">
        <w:rPr>
          <w:lang w:val="en-US"/>
        </w:rPr>
        <w:t>law</w:t>
      </w:r>
      <w:r w:rsidR="00BC4730">
        <w:rPr>
          <w:lang w:val="en-US"/>
        </w:rPr>
        <w:t xml:space="preserve">. </w:t>
      </w:r>
      <w:r w:rsidR="007B178B">
        <w:rPr>
          <w:lang w:val="en-US"/>
        </w:rPr>
        <w:t>Unaccompanied children have an appointed representative from the municipal administration, whose level of qualification is of vital importance for the respect of their rights. Moreover, the State Agency for Refugees (SAR) (</w:t>
      </w:r>
      <w:r w:rsidR="007B178B" w:rsidRPr="007B178B">
        <w:rPr>
          <w:i/>
          <w:lang w:val="bg-BG"/>
        </w:rPr>
        <w:t>Държавна агенция за бежанците</w:t>
      </w:r>
      <w:r w:rsidR="007B178B">
        <w:rPr>
          <w:lang w:val="bg-BG"/>
        </w:rPr>
        <w:t>, ДАБ</w:t>
      </w:r>
      <w:r w:rsidR="007B178B">
        <w:rPr>
          <w:lang w:val="en-US"/>
        </w:rPr>
        <w:t>)</w:t>
      </w:r>
      <w:r w:rsidR="007B178B">
        <w:rPr>
          <w:lang w:val="bg-BG"/>
        </w:rPr>
        <w:t xml:space="preserve"> </w:t>
      </w:r>
      <w:r w:rsidR="007B178B">
        <w:rPr>
          <w:lang w:val="en-US"/>
        </w:rPr>
        <w:t>has the obligation to prevent violence or inhuman or degrading treatment against children seeking protection.</w:t>
      </w:r>
      <w:r w:rsidR="00B40210">
        <w:rPr>
          <w:lang w:val="en-US"/>
        </w:rPr>
        <w:t xml:space="preserve"> </w:t>
      </w:r>
      <w:r w:rsidR="007A2C33">
        <w:rPr>
          <w:lang w:val="en-US"/>
        </w:rPr>
        <w:t>Foreigners</w:t>
      </w:r>
      <w:r w:rsidR="00B40210">
        <w:rPr>
          <w:lang w:val="en-US"/>
        </w:rPr>
        <w:t xml:space="preserve"> have the right to education and vocational training</w:t>
      </w:r>
      <w:r w:rsidR="006323D0">
        <w:rPr>
          <w:lang w:val="en-US"/>
        </w:rPr>
        <w:t xml:space="preserve">, as well as recognition of qualifications. During the </w:t>
      </w:r>
      <w:r w:rsidR="0037489B">
        <w:rPr>
          <w:lang w:val="en-US"/>
        </w:rPr>
        <w:t xml:space="preserve">international protection </w:t>
      </w:r>
      <w:r w:rsidR="006323D0">
        <w:rPr>
          <w:lang w:val="en-US"/>
        </w:rPr>
        <w:t xml:space="preserve">proceedings, </w:t>
      </w:r>
      <w:r w:rsidR="007A2C33">
        <w:rPr>
          <w:lang w:val="en-US"/>
        </w:rPr>
        <w:t>they</w:t>
      </w:r>
      <w:r w:rsidR="006323D0">
        <w:rPr>
          <w:lang w:val="en-US"/>
        </w:rPr>
        <w:t xml:space="preserve"> have the right to accommodation and food, social support and healthcare, psychological support, interpretation</w:t>
      </w:r>
      <w:r w:rsidR="00E70050">
        <w:rPr>
          <w:lang w:val="en-US"/>
        </w:rPr>
        <w:t>,</w:t>
      </w:r>
      <w:r w:rsidR="006323D0">
        <w:rPr>
          <w:lang w:val="en-US"/>
        </w:rPr>
        <w:t xml:space="preserve"> access </w:t>
      </w:r>
      <w:r w:rsidR="00E70050">
        <w:rPr>
          <w:lang w:val="en-US"/>
        </w:rPr>
        <w:t xml:space="preserve">to </w:t>
      </w:r>
      <w:r w:rsidR="006323D0">
        <w:rPr>
          <w:lang w:val="en-US"/>
        </w:rPr>
        <w:t>the labour market.</w:t>
      </w:r>
      <w:r w:rsidR="00ED5F3B">
        <w:rPr>
          <w:lang w:val="en-US"/>
        </w:rPr>
        <w:t xml:space="preserve"> During their stay in the SAR centres</w:t>
      </w:r>
      <w:r w:rsidR="006323D0">
        <w:rPr>
          <w:lang w:val="en-US"/>
        </w:rPr>
        <w:t xml:space="preserve"> </w:t>
      </w:r>
      <w:r w:rsidR="00ED5F3B">
        <w:rPr>
          <w:lang w:val="en-US"/>
        </w:rPr>
        <w:t>foreigners are subjected to medical checks, determining whether they belong to a vulnerable group.</w:t>
      </w:r>
      <w:r w:rsidR="003D7E0C">
        <w:rPr>
          <w:lang w:val="en-US"/>
        </w:rPr>
        <w:t xml:space="preserve"> Foreigners having received protection may receive financial aid for accommodation. Family reunification is also regulated. Integration takes place, based on an integration agreement</w:t>
      </w:r>
      <w:r w:rsidR="0037489B">
        <w:rPr>
          <w:lang w:val="en-US"/>
        </w:rPr>
        <w:t xml:space="preserve">, </w:t>
      </w:r>
      <w:r w:rsidR="00706DC1">
        <w:rPr>
          <w:lang w:val="en-US"/>
        </w:rPr>
        <w:t>subject to</w:t>
      </w:r>
      <w:r w:rsidR="00F76A98">
        <w:rPr>
          <w:lang w:val="en-US"/>
        </w:rPr>
        <w:t xml:space="preserve"> a special regulation</w:t>
      </w:r>
      <w:r w:rsidR="00F76A98">
        <w:rPr>
          <w:lang w:val="bg-BG"/>
        </w:rPr>
        <w:t>.</w:t>
      </w:r>
      <w:r w:rsidR="00F76A98">
        <w:rPr>
          <w:rStyle w:val="FootnoteReference"/>
          <w:lang w:val="bg-BG"/>
        </w:rPr>
        <w:footnoteReference w:id="69"/>
      </w:r>
      <w:r w:rsidR="009D733D">
        <w:rPr>
          <w:lang w:val="en-US"/>
        </w:rPr>
        <w:t xml:space="preserve"> Thus, </w:t>
      </w:r>
      <w:r w:rsidR="00651AF1">
        <w:rPr>
          <w:lang w:val="en-US"/>
        </w:rPr>
        <w:t xml:space="preserve">any element of </w:t>
      </w:r>
      <w:r w:rsidR="00651AF1">
        <w:rPr>
          <w:lang w:val="en-US"/>
        </w:rPr>
        <w:lastRenderedPageBreak/>
        <w:t xml:space="preserve">violation, or insufficient/lacking access to </w:t>
      </w:r>
      <w:r w:rsidR="00706DC1">
        <w:rPr>
          <w:lang w:val="en-US"/>
        </w:rPr>
        <w:t xml:space="preserve">procedural </w:t>
      </w:r>
      <w:r w:rsidR="00651AF1">
        <w:rPr>
          <w:lang w:val="en-US"/>
        </w:rPr>
        <w:t>rights</w:t>
      </w:r>
      <w:r w:rsidR="00706DC1">
        <w:rPr>
          <w:lang w:val="en-US"/>
        </w:rPr>
        <w:t xml:space="preserve"> or practical entitlements</w:t>
      </w:r>
      <w:r w:rsidR="00651AF1">
        <w:rPr>
          <w:lang w:val="en-US"/>
        </w:rPr>
        <w:t xml:space="preserve"> </w:t>
      </w:r>
      <w:r w:rsidR="0040770C">
        <w:rPr>
          <w:lang w:val="en-US"/>
        </w:rPr>
        <w:t>for</w:t>
      </w:r>
      <w:r w:rsidR="00651AF1">
        <w:rPr>
          <w:lang w:val="en-US"/>
        </w:rPr>
        <w:t xml:space="preserve"> those seeking or having received international protection may turn into a vulnerability factor. </w:t>
      </w:r>
      <w:r w:rsidR="00C63FFC">
        <w:rPr>
          <w:lang w:val="en-US"/>
        </w:rPr>
        <w:t>Moreover, the concept of vulnerability is expressly introduced as regards those groups</w:t>
      </w:r>
      <w:r w:rsidR="00706DC1">
        <w:rPr>
          <w:lang w:val="en-US"/>
        </w:rPr>
        <w:t xml:space="preserve"> (see overview section)</w:t>
      </w:r>
      <w:r w:rsidR="00C63FFC">
        <w:rPr>
          <w:lang w:val="en-US"/>
        </w:rPr>
        <w:t>.</w:t>
      </w:r>
    </w:p>
    <w:p w14:paraId="5F0D080B" w14:textId="77777777" w:rsidR="008768A0" w:rsidRDefault="008768A0" w:rsidP="0032208C">
      <w:pPr>
        <w:pStyle w:val="FRABodyText"/>
        <w:rPr>
          <w:lang w:val="en-US"/>
        </w:rPr>
      </w:pPr>
    </w:p>
    <w:p w14:paraId="56D2A92A" w14:textId="65274D4B" w:rsidR="00F106E0" w:rsidRDefault="008768A0" w:rsidP="0032208C">
      <w:pPr>
        <w:pStyle w:val="FRABodyText"/>
        <w:rPr>
          <w:lang w:val="en-US"/>
        </w:rPr>
      </w:pPr>
      <w:r>
        <w:rPr>
          <w:lang w:val="en-US"/>
        </w:rPr>
        <w:t xml:space="preserve">Possible vulnerability factors in the </w:t>
      </w:r>
      <w:r>
        <w:rPr>
          <w:rFonts w:cs="Calibri"/>
          <w:szCs w:val="18"/>
          <w:lang w:val="en-US"/>
        </w:rPr>
        <w:t>Foreigners in the Republic of Bulgaria Act</w:t>
      </w:r>
      <w:r w:rsidRPr="00D23101">
        <w:rPr>
          <w:rFonts w:cs="Calibri"/>
          <w:szCs w:val="18"/>
        </w:rPr>
        <w:t xml:space="preserve"> (</w:t>
      </w:r>
      <w:r>
        <w:rPr>
          <w:rFonts w:cs="Calibri"/>
          <w:i/>
          <w:szCs w:val="18"/>
          <w:lang w:val="bg-BG"/>
        </w:rPr>
        <w:t>Закон за чужденците в Република България</w:t>
      </w:r>
      <w:r w:rsidRPr="00D23101">
        <w:rPr>
          <w:rFonts w:cs="Calibri"/>
          <w:szCs w:val="18"/>
        </w:rPr>
        <w:t>)</w:t>
      </w:r>
      <w:r>
        <w:rPr>
          <w:rStyle w:val="FootnoteReference"/>
          <w:rFonts w:cs="Calibri"/>
          <w:szCs w:val="18"/>
        </w:rPr>
        <w:footnoteReference w:id="70"/>
      </w:r>
      <w:r w:rsidR="0071490C">
        <w:rPr>
          <w:lang w:val="en-US"/>
        </w:rPr>
        <w:t xml:space="preserve"> </w:t>
      </w:r>
      <w:r>
        <w:rPr>
          <w:lang w:val="en-US"/>
        </w:rPr>
        <w:t>should mainly be sought in the various compulsory measures it regulates in cases of non-compliance/violations.</w:t>
      </w:r>
      <w:r w:rsidR="00030F61">
        <w:rPr>
          <w:lang w:val="en-US"/>
        </w:rPr>
        <w:t xml:space="preserve"> The return and expulsion procedures pose significant risks for inhuman and degrading treatment and punishment, as well as of </w:t>
      </w:r>
      <w:r w:rsidR="00706DC1">
        <w:rPr>
          <w:lang w:val="en-US"/>
        </w:rPr>
        <w:t xml:space="preserve">violation of </w:t>
      </w:r>
      <w:r w:rsidR="00030F61">
        <w:rPr>
          <w:lang w:val="en-US"/>
        </w:rPr>
        <w:t xml:space="preserve">procedural rights. The placement in centres for irregular migrants may also pose risks for foreigners’ legal situation and </w:t>
      </w:r>
      <w:r w:rsidR="00DE24FC">
        <w:rPr>
          <w:lang w:val="en-US"/>
        </w:rPr>
        <w:t>well-being</w:t>
      </w:r>
      <w:r w:rsidR="00030F61">
        <w:rPr>
          <w:lang w:val="en-US"/>
        </w:rPr>
        <w:t>.</w:t>
      </w:r>
      <w:r w:rsidR="00455F2C">
        <w:rPr>
          <w:rStyle w:val="FootnoteReference"/>
          <w:lang w:val="en-US"/>
        </w:rPr>
        <w:footnoteReference w:id="71"/>
      </w:r>
      <w:r w:rsidR="00030F61">
        <w:rPr>
          <w:lang w:val="en-US"/>
        </w:rPr>
        <w:t xml:space="preserve"> </w:t>
      </w:r>
    </w:p>
    <w:p w14:paraId="72153338" w14:textId="77777777" w:rsidR="00DE24FC" w:rsidRDefault="00DE24FC" w:rsidP="0032208C">
      <w:pPr>
        <w:pStyle w:val="FRABodyText"/>
        <w:rPr>
          <w:lang w:val="en-US"/>
        </w:rPr>
      </w:pPr>
    </w:p>
    <w:p w14:paraId="2717AF5A" w14:textId="04154A59" w:rsidR="00030F61" w:rsidRDefault="00DE24FC" w:rsidP="0032208C">
      <w:pPr>
        <w:pStyle w:val="FRABodyText"/>
        <w:rPr>
          <w:lang w:val="en-US"/>
        </w:rPr>
      </w:pPr>
      <w:r>
        <w:rPr>
          <w:lang w:val="en-US"/>
        </w:rPr>
        <w:t xml:space="preserve">Potential factors for the vulnerability of foreigners on the labour market may be sought in the Labour Migration and Labour Mobility Act </w:t>
      </w:r>
      <w:r w:rsidRPr="00DE24FC">
        <w:rPr>
          <w:i/>
          <w:lang w:val="en-US"/>
        </w:rPr>
        <w:t>(</w:t>
      </w:r>
      <w:r w:rsidRPr="00DE24FC">
        <w:rPr>
          <w:i/>
          <w:lang w:val="bg-BG"/>
        </w:rPr>
        <w:t>Закон за трудовата миграция и трудовата мобилност</w:t>
      </w:r>
      <w:r w:rsidRPr="00DE24FC">
        <w:rPr>
          <w:i/>
          <w:lang w:val="en-US"/>
        </w:rPr>
        <w:t>)</w:t>
      </w:r>
      <w:r>
        <w:rPr>
          <w:lang w:val="bg-BG"/>
        </w:rPr>
        <w:t>.</w:t>
      </w:r>
      <w:r>
        <w:rPr>
          <w:rStyle w:val="FootnoteReference"/>
          <w:lang w:val="bg-BG"/>
        </w:rPr>
        <w:footnoteReference w:id="72"/>
      </w:r>
      <w:r w:rsidR="00D44B5E">
        <w:rPr>
          <w:lang w:val="en-US"/>
        </w:rPr>
        <w:t xml:space="preserve"> Besides prohibiting discrimination on grounds such as ethnicity or disability, </w:t>
      </w:r>
      <w:r w:rsidR="00A51DE7">
        <w:rPr>
          <w:lang w:val="en-US"/>
        </w:rPr>
        <w:t>the Act has a whole chapter on equal treatment, which proclaims</w:t>
      </w:r>
      <w:r w:rsidR="00A0041F">
        <w:rPr>
          <w:lang w:val="en-US"/>
        </w:rPr>
        <w:t>, for those within the framework of the Act</w:t>
      </w:r>
      <w:r w:rsidR="00F1250D">
        <w:rPr>
          <w:lang w:val="en-US"/>
        </w:rPr>
        <w:t xml:space="preserve"> (blue card holders, etc.)</w:t>
      </w:r>
      <w:r w:rsidR="00A0041F">
        <w:rPr>
          <w:lang w:val="en-US"/>
        </w:rPr>
        <w:t>,</w:t>
      </w:r>
      <w:r w:rsidR="00A51DE7">
        <w:rPr>
          <w:lang w:val="en-US"/>
        </w:rPr>
        <w:t xml:space="preserve"> equality </w:t>
      </w:r>
      <w:r w:rsidR="002E1494">
        <w:rPr>
          <w:lang w:val="en-US"/>
        </w:rPr>
        <w:t>in the access to information</w:t>
      </w:r>
      <w:r w:rsidR="008F1F9E">
        <w:rPr>
          <w:lang w:val="bg-BG"/>
        </w:rPr>
        <w:t xml:space="preserve"> </w:t>
      </w:r>
      <w:r w:rsidR="008F1F9E">
        <w:rPr>
          <w:lang w:val="en-US"/>
        </w:rPr>
        <w:t>and</w:t>
      </w:r>
      <w:r w:rsidR="00CC5CFA">
        <w:rPr>
          <w:lang w:val="en-US"/>
        </w:rPr>
        <w:t xml:space="preserve"> employment services, in the</w:t>
      </w:r>
      <w:r w:rsidR="008F1F9E">
        <w:rPr>
          <w:lang w:val="en-US"/>
        </w:rPr>
        <w:t xml:space="preserve"> </w:t>
      </w:r>
      <w:r w:rsidR="00CC5CFA">
        <w:rPr>
          <w:lang w:val="en-US"/>
        </w:rPr>
        <w:t xml:space="preserve">conditions for </w:t>
      </w:r>
      <w:r w:rsidR="00A0041F">
        <w:rPr>
          <w:lang w:val="en-US"/>
        </w:rPr>
        <w:t xml:space="preserve">employment, </w:t>
      </w:r>
      <w:r w:rsidR="008F1F9E">
        <w:rPr>
          <w:lang w:val="en-US"/>
        </w:rPr>
        <w:t>c</w:t>
      </w:r>
      <w:r w:rsidR="00A0041F">
        <w:rPr>
          <w:lang w:val="en-US"/>
        </w:rPr>
        <w:t>ollective bargaining, health and safety at work, social security, access to education and vocational training, recognition of diplomas and qualifications.</w:t>
      </w:r>
      <w:r w:rsidR="00CE5806">
        <w:rPr>
          <w:lang w:val="en-US"/>
        </w:rPr>
        <w:t xml:space="preserve"> Thus, any violation or insufficient access to such labour rights can be considered a vulnerability </w:t>
      </w:r>
      <w:r w:rsidR="00AF6F54">
        <w:rPr>
          <w:lang w:val="en-US"/>
        </w:rPr>
        <w:t xml:space="preserve">for those foreigners. </w:t>
      </w:r>
    </w:p>
    <w:p w14:paraId="7C73EF40" w14:textId="77777777" w:rsidR="002633DA" w:rsidRDefault="002633DA" w:rsidP="0032208C">
      <w:pPr>
        <w:pStyle w:val="FRABodyText"/>
        <w:rPr>
          <w:lang w:val="en-US"/>
        </w:rPr>
      </w:pPr>
    </w:p>
    <w:p w14:paraId="06AE728C" w14:textId="7F9A71CB" w:rsidR="002633DA" w:rsidRPr="003E2F36" w:rsidRDefault="002633DA" w:rsidP="0032208C">
      <w:pPr>
        <w:pStyle w:val="FRABodyText"/>
        <w:rPr>
          <w:lang w:val="en-US"/>
        </w:rPr>
      </w:pPr>
      <w:r>
        <w:rPr>
          <w:lang w:val="en-US"/>
        </w:rPr>
        <w:t xml:space="preserve">Specific vulnerability factors for foreigners should be sought within the framework of combatting </w:t>
      </w:r>
      <w:r w:rsidR="002A035D">
        <w:rPr>
          <w:lang w:val="en-US"/>
        </w:rPr>
        <w:t>human trafficking</w:t>
      </w:r>
      <w:r w:rsidR="009707C3">
        <w:rPr>
          <w:lang w:val="en-US"/>
        </w:rPr>
        <w:t>, although Bulgaria lags behind in identifying trafficking victims among third-country nationals.</w:t>
      </w:r>
      <w:r w:rsidR="002A035D">
        <w:rPr>
          <w:lang w:val="en-US"/>
        </w:rPr>
        <w:t xml:space="preserve"> Besides </w:t>
      </w:r>
      <w:r w:rsidR="009E1288">
        <w:rPr>
          <w:lang w:val="en-US"/>
        </w:rPr>
        <w:t xml:space="preserve">the provisions in the Criminal Code </w:t>
      </w:r>
      <w:r w:rsidR="009E1288" w:rsidRPr="00433F0F">
        <w:rPr>
          <w:i/>
          <w:lang w:val="en-US"/>
        </w:rPr>
        <w:t>(</w:t>
      </w:r>
      <w:r w:rsidR="009E1288" w:rsidRPr="00433F0F">
        <w:rPr>
          <w:i/>
          <w:lang w:val="bg-BG"/>
        </w:rPr>
        <w:t>Наказателен кодекс</w:t>
      </w:r>
      <w:r w:rsidR="009E1288" w:rsidRPr="00433F0F">
        <w:rPr>
          <w:i/>
          <w:lang w:val="en-US"/>
        </w:rPr>
        <w:t>)</w:t>
      </w:r>
      <w:r w:rsidR="009E1288">
        <w:t>,</w:t>
      </w:r>
      <w:r w:rsidR="009E1288" w:rsidRPr="00433F0F">
        <w:rPr>
          <w:rStyle w:val="FootnoteReference"/>
          <w:lang w:val="en-US"/>
        </w:rPr>
        <w:footnoteReference w:id="73"/>
      </w:r>
      <w:r w:rsidR="005343F0">
        <w:rPr>
          <w:lang w:val="bg-BG"/>
        </w:rPr>
        <w:t xml:space="preserve"> а</w:t>
      </w:r>
      <w:r w:rsidR="005343F0">
        <w:rPr>
          <w:lang w:val="en-US"/>
        </w:rPr>
        <w:t>nd the related rights of victims of crime (see section on victims of domestic violence),</w:t>
      </w:r>
      <w:r w:rsidR="009E1288">
        <w:t xml:space="preserve"> </w:t>
      </w:r>
      <w:r w:rsidR="005343F0">
        <w:rPr>
          <w:lang w:val="en-US"/>
        </w:rPr>
        <w:t xml:space="preserve">the Combatting Human Trafficking Act </w:t>
      </w:r>
      <w:r w:rsidR="005343F0" w:rsidRPr="005343F0">
        <w:rPr>
          <w:i/>
          <w:lang w:val="en-US"/>
        </w:rPr>
        <w:t>(</w:t>
      </w:r>
      <w:r w:rsidR="005343F0" w:rsidRPr="005343F0">
        <w:rPr>
          <w:i/>
          <w:lang w:val="bg-BG"/>
        </w:rPr>
        <w:t>Закон за борба с трафика на хора</w:t>
      </w:r>
      <w:r w:rsidR="005343F0" w:rsidRPr="005343F0">
        <w:rPr>
          <w:i/>
          <w:lang w:val="en-US"/>
        </w:rPr>
        <w:t>)</w:t>
      </w:r>
      <w:r w:rsidR="003E2F36">
        <w:rPr>
          <w:lang w:val="bg-BG"/>
        </w:rPr>
        <w:t xml:space="preserve"> </w:t>
      </w:r>
      <w:r w:rsidR="003E2F36">
        <w:rPr>
          <w:lang w:val="en-US"/>
        </w:rPr>
        <w:t xml:space="preserve">regulates the shelters </w:t>
      </w:r>
      <w:r w:rsidR="00706DC1">
        <w:rPr>
          <w:lang w:val="en-US"/>
        </w:rPr>
        <w:t xml:space="preserve">and centers for support and protection </w:t>
      </w:r>
      <w:r w:rsidR="003E2F36">
        <w:rPr>
          <w:lang w:val="en-US"/>
        </w:rPr>
        <w:t>for human trafficking victims, including foreigners. The Act has a chapter on support and protection of victims</w:t>
      </w:r>
      <w:r w:rsidR="003E2F36">
        <w:rPr>
          <w:lang w:val="bg-BG"/>
        </w:rPr>
        <w:t>,</w:t>
      </w:r>
      <w:r w:rsidR="003E2F36">
        <w:rPr>
          <w:rStyle w:val="FootnoteReference"/>
          <w:lang w:val="en-US"/>
        </w:rPr>
        <w:footnoteReference w:id="74"/>
      </w:r>
      <w:r w:rsidR="003E2F36">
        <w:rPr>
          <w:lang w:val="bg-BG"/>
        </w:rPr>
        <w:t xml:space="preserve"> </w:t>
      </w:r>
      <w:r w:rsidR="003E2F36">
        <w:rPr>
          <w:lang w:val="en-US"/>
        </w:rPr>
        <w:t>regulating their reflection period, anonymity, special protection of child victims, as well as special protection of those having agreed to co-operate with authorities by prolonging their stay in the shelters and</w:t>
      </w:r>
      <w:r w:rsidR="008F1F9E">
        <w:rPr>
          <w:lang w:val="en-US"/>
        </w:rPr>
        <w:t xml:space="preserve"> </w:t>
      </w:r>
      <w:r w:rsidR="003E2F36">
        <w:rPr>
          <w:lang w:val="en-US"/>
        </w:rPr>
        <w:t>giving foreigners long-term residence permits for the duration of the criminal proceedings.</w:t>
      </w:r>
      <w:r w:rsidR="009707C3">
        <w:rPr>
          <w:lang w:val="en-US"/>
        </w:rPr>
        <w:t xml:space="preserve"> </w:t>
      </w:r>
      <w:r w:rsidR="005C0577">
        <w:rPr>
          <w:lang w:val="en-US"/>
        </w:rPr>
        <w:t xml:space="preserve">Thus, the lack of, or insufficient access to, support and protection services may </w:t>
      </w:r>
      <w:r w:rsidR="005C0577">
        <w:rPr>
          <w:lang w:val="en-US"/>
        </w:rPr>
        <w:lastRenderedPageBreak/>
        <w:t xml:space="preserve">prove a vulnerability factor for </w:t>
      </w:r>
      <w:r w:rsidR="005943A1">
        <w:rPr>
          <w:lang w:val="en-US"/>
        </w:rPr>
        <w:t xml:space="preserve">foreign </w:t>
      </w:r>
      <w:r w:rsidR="005C0577">
        <w:rPr>
          <w:lang w:val="en-US"/>
        </w:rPr>
        <w:t>human trafficking victim</w:t>
      </w:r>
      <w:r w:rsidR="005943A1">
        <w:rPr>
          <w:lang w:val="en-US"/>
        </w:rPr>
        <w:t>s</w:t>
      </w:r>
      <w:r w:rsidR="005C0577">
        <w:rPr>
          <w:lang w:val="en-US"/>
        </w:rPr>
        <w:t>. Insufficient prevention and counteraction of this criminal phenomenon is also a factor directly affecting (potentially) victimi</w:t>
      </w:r>
      <w:r w:rsidR="005943A1">
        <w:rPr>
          <w:lang w:val="en-US"/>
        </w:rPr>
        <w:t>s</w:t>
      </w:r>
      <w:r w:rsidR="005C0577">
        <w:rPr>
          <w:lang w:val="en-US"/>
        </w:rPr>
        <w:t xml:space="preserve">ed foreigners. </w:t>
      </w:r>
      <w:r w:rsidR="003E2F36">
        <w:rPr>
          <w:lang w:val="en-US"/>
        </w:rPr>
        <w:t xml:space="preserve"> </w:t>
      </w:r>
    </w:p>
    <w:p w14:paraId="52AEEA6F" w14:textId="77777777" w:rsidR="00030F61" w:rsidRPr="00BA79CA" w:rsidRDefault="00030F61" w:rsidP="0032208C">
      <w:pPr>
        <w:pStyle w:val="FRABodyText"/>
        <w:rPr>
          <w:lang w:val="en-US"/>
        </w:rPr>
      </w:pPr>
    </w:p>
    <w:p w14:paraId="5CF8F574" w14:textId="77777777" w:rsidR="00F106E0" w:rsidRDefault="00F106E0" w:rsidP="008E576F">
      <w:pPr>
        <w:numPr>
          <w:ilvl w:val="0"/>
          <w:numId w:val="4"/>
        </w:numPr>
        <w:spacing w:line="276" w:lineRule="auto"/>
        <w:rPr>
          <w:b/>
        </w:rPr>
      </w:pPr>
      <w:r w:rsidRPr="00F106E0">
        <w:rPr>
          <w:b/>
        </w:rPr>
        <w:t>Emigrant Household Members</w:t>
      </w:r>
    </w:p>
    <w:p w14:paraId="5508737F" w14:textId="1F9CB229" w:rsidR="002B3E39" w:rsidRDefault="003D625C" w:rsidP="0032208C">
      <w:pPr>
        <w:pStyle w:val="FRABodyText"/>
        <w:rPr>
          <w:lang w:val="en-US"/>
        </w:rPr>
      </w:pPr>
      <w:r>
        <w:rPr>
          <w:lang w:val="en-US"/>
        </w:rPr>
        <w:t>V</w:t>
      </w:r>
      <w:r w:rsidR="00CC3C19">
        <w:rPr>
          <w:lang w:val="en-US"/>
        </w:rPr>
        <w:t xml:space="preserve">ulnerability factors, regarding emigrant household members, should be sought </w:t>
      </w:r>
      <w:r w:rsidR="008F07B1">
        <w:rPr>
          <w:lang w:val="en-US"/>
        </w:rPr>
        <w:t>in mainstream l</w:t>
      </w:r>
      <w:r w:rsidR="00BD12A7">
        <w:rPr>
          <w:lang w:val="en-US"/>
        </w:rPr>
        <w:t>egislation concerning children and</w:t>
      </w:r>
      <w:r w:rsidR="003871F6">
        <w:rPr>
          <w:lang w:val="en-US"/>
        </w:rPr>
        <w:t>, to a lesser extent,</w:t>
      </w:r>
      <w:r w:rsidR="00BD12A7">
        <w:rPr>
          <w:lang w:val="en-US"/>
        </w:rPr>
        <w:t xml:space="preserve"> other </w:t>
      </w:r>
      <w:r w:rsidR="00B61F05">
        <w:rPr>
          <w:lang w:val="en-US"/>
        </w:rPr>
        <w:t xml:space="preserve">dependants, seen within the context of the large group of Bulgarian emigrants. </w:t>
      </w:r>
    </w:p>
    <w:p w14:paraId="053E3E1B" w14:textId="77777777" w:rsidR="00B61F05" w:rsidRDefault="00B61F05" w:rsidP="0032208C">
      <w:pPr>
        <w:pStyle w:val="FRABodyText"/>
        <w:rPr>
          <w:lang w:val="en-US"/>
        </w:rPr>
      </w:pPr>
    </w:p>
    <w:p w14:paraId="6B648A7D" w14:textId="360C1DBC" w:rsidR="00086100" w:rsidRPr="00086100" w:rsidRDefault="003D625C" w:rsidP="0032208C">
      <w:pPr>
        <w:pStyle w:val="FRABodyText"/>
        <w:rPr>
          <w:lang w:val="bg-BG"/>
        </w:rPr>
      </w:pPr>
      <w:r>
        <w:t>T</w:t>
      </w:r>
      <w:r w:rsidR="00086100">
        <w:t xml:space="preserve">he Family Code </w:t>
      </w:r>
      <w:r w:rsidR="00086100" w:rsidRPr="0032208C">
        <w:rPr>
          <w:i/>
        </w:rPr>
        <w:t>(</w:t>
      </w:r>
      <w:r w:rsidR="00086100" w:rsidRPr="0032208C">
        <w:rPr>
          <w:i/>
          <w:lang w:val="bg-BG"/>
        </w:rPr>
        <w:t>Семеен кодекс</w:t>
      </w:r>
      <w:r w:rsidR="00086100" w:rsidRPr="0032208C">
        <w:rPr>
          <w:i/>
        </w:rPr>
        <w:t>)</w:t>
      </w:r>
      <w:r w:rsidR="00086100" w:rsidRPr="00086100">
        <w:rPr>
          <w:rStyle w:val="FootnoteReference"/>
        </w:rPr>
        <w:footnoteReference w:id="75"/>
      </w:r>
      <w:r w:rsidR="00B61F05">
        <w:rPr>
          <w:i/>
        </w:rPr>
        <w:t xml:space="preserve"> </w:t>
      </w:r>
      <w:r w:rsidR="00B61F05">
        <w:t xml:space="preserve">speaks </w:t>
      </w:r>
      <w:r w:rsidR="00AA5B3A">
        <w:t>at length</w:t>
      </w:r>
      <w:r w:rsidR="00B61F05">
        <w:t xml:space="preserve"> </w:t>
      </w:r>
      <w:r w:rsidR="00B00BB6">
        <w:t xml:space="preserve">of property and alimony specifics, concerning (potential) dependants, thus outlining mainly material and financial </w:t>
      </w:r>
      <w:r w:rsidR="004F441E">
        <w:t xml:space="preserve">vulnerability </w:t>
      </w:r>
      <w:r w:rsidR="00B00BB6">
        <w:t>factors</w:t>
      </w:r>
      <w:r w:rsidR="00716452">
        <w:t>, but also</w:t>
      </w:r>
      <w:r w:rsidR="004E73A9">
        <w:t xml:space="preserve"> </w:t>
      </w:r>
      <w:r w:rsidR="004E73A9">
        <w:rPr>
          <w:lang w:val="en-US"/>
        </w:rPr>
        <w:t>factors, concerning personal relati</w:t>
      </w:r>
      <w:r w:rsidR="00716452">
        <w:rPr>
          <w:lang w:val="en-US"/>
        </w:rPr>
        <w:t>ons between parents and children</w:t>
      </w:r>
      <w:r w:rsidR="004E73A9">
        <w:rPr>
          <w:lang w:val="en-US"/>
        </w:rPr>
        <w:t xml:space="preserve">. </w:t>
      </w:r>
      <w:r w:rsidR="00716452">
        <w:rPr>
          <w:lang w:val="en-US"/>
        </w:rPr>
        <w:t>E</w:t>
      </w:r>
      <w:r w:rsidR="004E73A9">
        <w:rPr>
          <w:lang w:val="en-US"/>
        </w:rPr>
        <w:t xml:space="preserve">ach parent bears equal parental rights and obligations towards children under 18 years of age, </w:t>
      </w:r>
      <w:r w:rsidR="008F1F9E">
        <w:rPr>
          <w:lang w:val="en-US"/>
        </w:rPr>
        <w:t xml:space="preserve">which </w:t>
      </w:r>
      <w:r w:rsidR="004E73A9">
        <w:rPr>
          <w:lang w:val="en-US"/>
        </w:rPr>
        <w:t>are exercised in the interest of the child by both parents together or separately, upon mutual agreement (replaceable by a court decision).</w:t>
      </w:r>
      <w:r w:rsidR="00A64876">
        <w:rPr>
          <w:lang w:val="en-US"/>
        </w:rPr>
        <w:t xml:space="preserve"> Children have the right to be raised and educated in a way ensuring normal development. They have the right to personal relations with their parents, unless the court has ruled otherwise. In case of disagreement between a child and a parent</w:t>
      </w:r>
      <w:r w:rsidR="00270740">
        <w:rPr>
          <w:lang w:val="en-US"/>
        </w:rPr>
        <w:t xml:space="preserve">, the child can turn to the social protection directorate </w:t>
      </w:r>
      <w:r w:rsidR="00270740" w:rsidRPr="00270740">
        <w:rPr>
          <w:i/>
          <w:lang w:val="en-US"/>
        </w:rPr>
        <w:t>(</w:t>
      </w:r>
      <w:r w:rsidR="00270740" w:rsidRPr="00270740">
        <w:rPr>
          <w:i/>
          <w:lang w:val="bg-BG"/>
        </w:rPr>
        <w:t>дирекция „Социално подпомагане“</w:t>
      </w:r>
      <w:r w:rsidR="00270740" w:rsidRPr="00270740">
        <w:rPr>
          <w:i/>
          <w:lang w:val="en-US"/>
        </w:rPr>
        <w:t>)</w:t>
      </w:r>
      <w:r w:rsidR="00270740">
        <w:rPr>
          <w:lang w:val="bg-BG"/>
        </w:rPr>
        <w:t xml:space="preserve"> </w:t>
      </w:r>
      <w:r w:rsidR="00270740">
        <w:rPr>
          <w:lang w:val="en-US"/>
        </w:rPr>
        <w:t>or to court.</w:t>
      </w:r>
      <w:r w:rsidR="004E73A9">
        <w:rPr>
          <w:lang w:val="en-US"/>
        </w:rPr>
        <w:t xml:space="preserve"> </w:t>
      </w:r>
      <w:r w:rsidR="00270740">
        <w:rPr>
          <w:lang w:val="en-US"/>
        </w:rPr>
        <w:t>Children</w:t>
      </w:r>
      <w:r w:rsidR="00191B89">
        <w:rPr>
          <w:lang w:val="en-US"/>
        </w:rPr>
        <w:t>, if over 18 years of age, should take care of their parents if they are elderly or sick. Parents have the right and obligation to take care of the children’s development, their education, personal and property interests</w:t>
      </w:r>
      <w:r w:rsidR="00071239">
        <w:rPr>
          <w:lang w:val="en-US"/>
        </w:rPr>
        <w:t xml:space="preserve">. Parents and children live together unless important reasons impose them not to. Disputes regarding children’s residence, parental rights, and taking children abroad by one parent, are regulated. Parents represent their children under 14 years of age </w:t>
      </w:r>
      <w:r w:rsidR="00E232F0">
        <w:rPr>
          <w:lang w:val="en-US"/>
        </w:rPr>
        <w:t xml:space="preserve">and consent to their legal actions if they are 14-18 years of age. Thus, all provisions of the Code, concerning parent-child relations, present a particular challenge </w:t>
      </w:r>
      <w:r w:rsidR="00CB1BF1">
        <w:rPr>
          <w:lang w:val="en-US"/>
        </w:rPr>
        <w:t xml:space="preserve">in case the parents have emigrated (‘Skype parents’) and children are raised by </w:t>
      </w:r>
      <w:r w:rsidR="00716452">
        <w:rPr>
          <w:lang w:val="en-US"/>
        </w:rPr>
        <w:t>various</w:t>
      </w:r>
      <w:r w:rsidR="00CB1BF1">
        <w:rPr>
          <w:lang w:val="en-US"/>
        </w:rPr>
        <w:t xml:space="preserve"> relatives. </w:t>
      </w:r>
      <w:r w:rsidR="00D7236F">
        <w:rPr>
          <w:lang w:val="en-US"/>
        </w:rPr>
        <w:t>Difficulties may also arise if children, or families, decide to exercise their rights to family allowances or social services</w:t>
      </w:r>
      <w:r w:rsidR="00B823F8">
        <w:rPr>
          <w:lang w:val="en-US"/>
        </w:rPr>
        <w:t xml:space="preserve"> under the respective legislation</w:t>
      </w:r>
      <w:r w:rsidR="00D7236F">
        <w:rPr>
          <w:lang w:val="en-US"/>
        </w:rPr>
        <w:t>.</w:t>
      </w:r>
      <w:r w:rsidR="00086100">
        <w:t xml:space="preserve"> </w:t>
      </w:r>
    </w:p>
    <w:p w14:paraId="7B138750" w14:textId="1CD6C053" w:rsidR="002A5215" w:rsidRDefault="002A5215" w:rsidP="0032208C">
      <w:pPr>
        <w:pStyle w:val="FRABodyText"/>
      </w:pPr>
      <w:r>
        <w:tab/>
      </w:r>
      <w:r>
        <w:tab/>
      </w:r>
    </w:p>
    <w:p w14:paraId="4914967A" w14:textId="77777777" w:rsidR="00F106E0" w:rsidRPr="00F106E0" w:rsidRDefault="00F106E0" w:rsidP="008E576F">
      <w:pPr>
        <w:numPr>
          <w:ilvl w:val="0"/>
          <w:numId w:val="4"/>
        </w:numPr>
        <w:spacing w:line="276" w:lineRule="auto"/>
        <w:rPr>
          <w:b/>
        </w:rPr>
      </w:pPr>
      <w:r w:rsidRPr="00F106E0">
        <w:rPr>
          <w:b/>
        </w:rPr>
        <w:t xml:space="preserve">Victims of Domestic Violence </w:t>
      </w:r>
    </w:p>
    <w:p w14:paraId="4D374903" w14:textId="09160165" w:rsidR="004F5FEA" w:rsidRDefault="004F5FEA" w:rsidP="0032208C">
      <w:pPr>
        <w:pStyle w:val="FRABodyText"/>
      </w:pPr>
      <w:r>
        <w:t xml:space="preserve">Bulgaria has not ratified the </w:t>
      </w:r>
      <w:r w:rsidRPr="004F5FEA">
        <w:t>Council of Europe Convention on preventing and combating violence against women and domestic violence</w:t>
      </w:r>
      <w:r>
        <w:t xml:space="preserve"> (Istanbul Convention) and has pronounced it unconstitutional</w:t>
      </w:r>
      <w:r>
        <w:rPr>
          <w:rStyle w:val="FootnoteReference"/>
        </w:rPr>
        <w:footnoteReference w:id="76"/>
      </w:r>
      <w:r>
        <w:t xml:space="preserve"> so no reference is made to the document in any of the country’s legal or policy acts. </w:t>
      </w:r>
      <w:r w:rsidR="00810D37">
        <w:t>Legislation defining those victims (see above)</w:t>
      </w:r>
      <w:r w:rsidR="00B63471">
        <w:t xml:space="preserve"> offer</w:t>
      </w:r>
      <w:r w:rsidR="00810D37">
        <w:t>s</w:t>
      </w:r>
      <w:r w:rsidR="00B63471">
        <w:t xml:space="preserve"> a list of vulnerability factors, identifying domestic violence itself as phenomenon, but also related ones: physical, sexual, mental, emotional, economic</w:t>
      </w:r>
      <w:r w:rsidR="006A6A80">
        <w:t xml:space="preserve"> violence</w:t>
      </w:r>
      <w:r w:rsidR="00B63471">
        <w:t>; economic dependence (</w:t>
      </w:r>
      <w:r w:rsidR="00810D37">
        <w:t xml:space="preserve">and </w:t>
      </w:r>
      <w:r w:rsidR="00B63471">
        <w:t>related poverty); limitation of personal rights and freedoms (</w:t>
      </w:r>
      <w:r w:rsidR="00810D37">
        <w:t>and</w:t>
      </w:r>
      <w:r w:rsidR="00B63471">
        <w:t xml:space="preserve"> related unemployment, social exclusion, lack of/poor education and healthcare). Domestic violence is often a component of labour/sexual exploitation.</w:t>
      </w:r>
    </w:p>
    <w:p w14:paraId="53B0E591" w14:textId="77777777" w:rsidR="004F5FEA" w:rsidRDefault="004F5FEA" w:rsidP="0032208C">
      <w:pPr>
        <w:pStyle w:val="FRABodyText"/>
      </w:pPr>
    </w:p>
    <w:p w14:paraId="3CCD3C9B" w14:textId="378FF7EE" w:rsidR="00321228" w:rsidRDefault="00321228" w:rsidP="0032208C">
      <w:pPr>
        <w:pStyle w:val="FRABodyText"/>
      </w:pPr>
      <w:r>
        <w:t>The Protection against Domestic Violence Act</w:t>
      </w:r>
      <w:r w:rsidR="00CC6EA7">
        <w:rPr>
          <w:rStyle w:val="FootnoteReference"/>
        </w:rPr>
        <w:footnoteReference w:id="77"/>
      </w:r>
      <w:r w:rsidR="0027727D">
        <w:t xml:space="preserve"> regulates </w:t>
      </w:r>
      <w:r w:rsidR="00CC6EA7">
        <w:t xml:space="preserve">a civil law-based procedure of protection orders, </w:t>
      </w:r>
      <w:r w:rsidR="006318DD">
        <w:t>including measures like restraining orders, taking the perpetrator out of the common dwelling, placement of the child with the parent, who ha</w:t>
      </w:r>
      <w:r w:rsidR="00F80BC7">
        <w:t>s</w:t>
      </w:r>
      <w:r w:rsidR="006318DD">
        <w:t xml:space="preserve"> not committed domestic violence, specialised programmes for victims and perpetrators. Most o</w:t>
      </w:r>
      <w:r w:rsidR="00505BBA">
        <w:t>f the measures are monitored and enforced by police</w:t>
      </w:r>
      <w:r w:rsidR="00CC0E49">
        <w:t xml:space="preserve">, which also </w:t>
      </w:r>
      <w:r w:rsidR="00CC2BE6">
        <w:t>under</w:t>
      </w:r>
      <w:r w:rsidR="00CC0E49">
        <w:t>takes immediate</w:t>
      </w:r>
      <w:r w:rsidR="00D52115">
        <w:t xml:space="preserve"> urgent</w:t>
      </w:r>
      <w:r w:rsidR="00CC0E49">
        <w:t xml:space="preserve"> protection</w:t>
      </w:r>
      <w:r w:rsidR="00505BBA">
        <w:t xml:space="preserve">. Thus, a </w:t>
      </w:r>
      <w:r w:rsidR="00505BBA">
        <w:lastRenderedPageBreak/>
        <w:t xml:space="preserve">number of </w:t>
      </w:r>
      <w:r w:rsidR="00E87AFD">
        <w:t xml:space="preserve">additional </w:t>
      </w:r>
      <w:r w:rsidR="00505BBA">
        <w:t xml:space="preserve">vulnerability factors may occur </w:t>
      </w:r>
      <w:r w:rsidR="00E87AFD">
        <w:t>for victims</w:t>
      </w:r>
      <w:r w:rsidR="00505BBA">
        <w:t xml:space="preserve">, such as ineffectiveness of </w:t>
      </w:r>
      <w:r w:rsidR="00E87AFD">
        <w:t xml:space="preserve">the </w:t>
      </w:r>
      <w:r w:rsidR="00505BBA">
        <w:t>protection order</w:t>
      </w:r>
      <w:r w:rsidR="00F80BC7">
        <w:t>s</w:t>
      </w:r>
      <w:r w:rsidR="00E87AFD">
        <w:t xml:space="preserve"> and </w:t>
      </w:r>
      <w:r w:rsidR="00F80BC7">
        <w:t>their</w:t>
      </w:r>
      <w:r w:rsidR="00E87AFD">
        <w:t xml:space="preserve"> practical application. </w:t>
      </w:r>
      <w:r w:rsidR="00505BBA">
        <w:t xml:space="preserve"> </w:t>
      </w:r>
    </w:p>
    <w:p w14:paraId="5A9E2C11" w14:textId="77777777" w:rsidR="00321228" w:rsidRDefault="00321228" w:rsidP="0032208C">
      <w:pPr>
        <w:pStyle w:val="FRABodyText"/>
      </w:pPr>
    </w:p>
    <w:p w14:paraId="2B1A14BA" w14:textId="508D7758" w:rsidR="00F106E0" w:rsidRDefault="001407AE" w:rsidP="0032208C">
      <w:pPr>
        <w:pStyle w:val="FRABodyText"/>
      </w:pPr>
      <w:r>
        <w:t xml:space="preserve">If a criminal procedure takes place, </w:t>
      </w:r>
      <w:r w:rsidR="00F80BC7">
        <w:t>victims</w:t>
      </w:r>
      <w:r w:rsidR="00493C84">
        <w:t xml:space="preserve"> will also have entitlements</w:t>
      </w:r>
      <w:r w:rsidR="0084662F">
        <w:t xml:space="preserve"> under</w:t>
      </w:r>
      <w:r w:rsidR="00493C84">
        <w:t>:</w:t>
      </w:r>
    </w:p>
    <w:p w14:paraId="67331609" w14:textId="4887B6A1" w:rsidR="00493C84" w:rsidRDefault="003953AD" w:rsidP="008E576F">
      <w:pPr>
        <w:pStyle w:val="FRABodyText"/>
        <w:numPr>
          <w:ilvl w:val="0"/>
          <w:numId w:val="7"/>
        </w:numPr>
      </w:pPr>
      <w:r>
        <w:t xml:space="preserve">The Criminal Procedure Code </w:t>
      </w:r>
      <w:r w:rsidRPr="003953AD">
        <w:rPr>
          <w:i/>
        </w:rPr>
        <w:t>(</w:t>
      </w:r>
      <w:r w:rsidRPr="003953AD">
        <w:rPr>
          <w:i/>
          <w:lang w:val="bg-BG"/>
        </w:rPr>
        <w:t>Наказателно-процесуален кодекс</w:t>
      </w:r>
      <w:r w:rsidRPr="003953AD">
        <w:rPr>
          <w:i/>
        </w:rPr>
        <w:t>)</w:t>
      </w:r>
      <w:r w:rsidRPr="00C53525">
        <w:rPr>
          <w:rStyle w:val="FootnoteReference"/>
        </w:rPr>
        <w:footnoteReference w:id="78"/>
      </w:r>
      <w:r w:rsidR="00B0391C">
        <w:rPr>
          <w:i/>
        </w:rPr>
        <w:t xml:space="preserve"> </w:t>
      </w:r>
      <w:r w:rsidR="0084662F">
        <w:rPr>
          <w:i/>
        </w:rPr>
        <w:t xml:space="preserve">- </w:t>
      </w:r>
      <w:r w:rsidR="00B0391C">
        <w:t>right to information, participation in the proceedings in various capacities, legal aid, protection for them and their relatives, etc.</w:t>
      </w:r>
    </w:p>
    <w:p w14:paraId="29210C76" w14:textId="4D858987" w:rsidR="00B0391C" w:rsidRPr="00C53525" w:rsidRDefault="00C53525" w:rsidP="008E576F">
      <w:pPr>
        <w:pStyle w:val="FRABodyText"/>
        <w:numPr>
          <w:ilvl w:val="0"/>
          <w:numId w:val="7"/>
        </w:numPr>
      </w:pPr>
      <w:r>
        <w:rPr>
          <w:lang w:val="en-US"/>
        </w:rPr>
        <w:t xml:space="preserve">Support and Financial Compensation to Victims of Crime Act </w:t>
      </w:r>
      <w:r w:rsidRPr="00C53525">
        <w:rPr>
          <w:i/>
          <w:lang w:val="en-US"/>
        </w:rPr>
        <w:t>(</w:t>
      </w:r>
      <w:r w:rsidRPr="00C53525">
        <w:rPr>
          <w:i/>
          <w:lang w:val="bg-BG"/>
        </w:rPr>
        <w:t>Закон за подпомагане и финансова компенсация на пострадали от престъпления</w:t>
      </w:r>
      <w:r w:rsidRPr="00C53525">
        <w:rPr>
          <w:i/>
          <w:lang w:val="en-US"/>
        </w:rPr>
        <w:t>)</w:t>
      </w:r>
      <w:r>
        <w:rPr>
          <w:rStyle w:val="FootnoteReference"/>
          <w:lang w:val="bg-BG"/>
        </w:rPr>
        <w:footnoteReference w:id="79"/>
      </w:r>
      <w:r>
        <w:rPr>
          <w:lang w:val="en-US"/>
        </w:rPr>
        <w:t xml:space="preserve"> </w:t>
      </w:r>
      <w:r w:rsidR="006337F4">
        <w:rPr>
          <w:lang w:val="en-US"/>
        </w:rPr>
        <w:t xml:space="preserve"> - </w:t>
      </w:r>
      <w:r>
        <w:rPr>
          <w:lang w:val="en-US"/>
        </w:rPr>
        <w:t xml:space="preserve">right to victim support services and financial compensation, the latter for a number of serious crimes. </w:t>
      </w:r>
    </w:p>
    <w:p w14:paraId="644F9ECF" w14:textId="77777777" w:rsidR="00B14957" w:rsidRDefault="00B14957" w:rsidP="0032208C">
      <w:pPr>
        <w:pStyle w:val="FRABodyText"/>
        <w:rPr>
          <w:lang w:val="en-US"/>
        </w:rPr>
      </w:pPr>
    </w:p>
    <w:p w14:paraId="2E9F40BC" w14:textId="16F9EF77" w:rsidR="00C53525" w:rsidRPr="004F5FEA" w:rsidRDefault="007C7C45" w:rsidP="0032208C">
      <w:pPr>
        <w:pStyle w:val="FRABodyText"/>
        <w:rPr>
          <w:lang w:val="en-US"/>
        </w:rPr>
      </w:pPr>
      <w:r>
        <w:rPr>
          <w:lang w:val="en-US"/>
        </w:rPr>
        <w:t xml:space="preserve">Thus, </w:t>
      </w:r>
      <w:r w:rsidR="00AC5E3C">
        <w:rPr>
          <w:lang w:val="en-US"/>
        </w:rPr>
        <w:t xml:space="preserve">victims of domestic violence may be faced with yet another plethora of vulnerability factors: </w:t>
      </w:r>
      <w:r w:rsidR="004F5FEA">
        <w:rPr>
          <w:lang w:val="en-US"/>
        </w:rPr>
        <w:t xml:space="preserve">lack of information in an understandable language, formalistic attitude on the part of authorities, low accessibility and/or quality of services provided, including legal aid, complexity of legal procedures. </w:t>
      </w:r>
    </w:p>
    <w:p w14:paraId="6E4774BD" w14:textId="77777777" w:rsidR="00F034B5" w:rsidRDefault="00F034B5" w:rsidP="0032208C">
      <w:pPr>
        <w:pStyle w:val="FRABodyText"/>
        <w:rPr>
          <w:rFonts w:eastAsiaTheme="minorHAnsi"/>
          <w:b/>
        </w:rPr>
      </w:pPr>
    </w:p>
    <w:p w14:paraId="4F035C97" w14:textId="77777777" w:rsidR="00F106E0" w:rsidRDefault="00F106E0" w:rsidP="008E576F">
      <w:pPr>
        <w:numPr>
          <w:ilvl w:val="0"/>
          <w:numId w:val="4"/>
        </w:numPr>
        <w:spacing w:line="276" w:lineRule="auto"/>
        <w:rPr>
          <w:b/>
        </w:rPr>
      </w:pPr>
      <w:r w:rsidRPr="00F106E0">
        <w:rPr>
          <w:b/>
        </w:rPr>
        <w:t>LGBTQ+ Persons</w:t>
      </w:r>
    </w:p>
    <w:p w14:paraId="2DF966DB" w14:textId="6B4E54CC" w:rsidR="00651F46" w:rsidRDefault="00DD1660" w:rsidP="0032208C">
      <w:pPr>
        <w:pStyle w:val="FRABodyText"/>
        <w:rPr>
          <w:lang w:val="en-US"/>
        </w:rPr>
      </w:pPr>
      <w:r w:rsidRPr="008067E7">
        <w:rPr>
          <w:lang w:val="en-US"/>
        </w:rPr>
        <w:t xml:space="preserve">The </w:t>
      </w:r>
      <w:r w:rsidRPr="008067E7">
        <w:t>Protection Against Discrimination Act</w:t>
      </w:r>
      <w:r>
        <w:t xml:space="preserve"> </w:t>
      </w:r>
      <w:r w:rsidRPr="004F5D5E">
        <w:rPr>
          <w:i/>
        </w:rPr>
        <w:t>(</w:t>
      </w:r>
      <w:r w:rsidRPr="004F5D5E">
        <w:rPr>
          <w:i/>
          <w:lang w:val="bg-BG"/>
        </w:rPr>
        <w:t>Закон за защита от дискриминация</w:t>
      </w:r>
      <w:r w:rsidRPr="004F5D5E">
        <w:rPr>
          <w:i/>
        </w:rPr>
        <w:t>)</w:t>
      </w:r>
      <w:r w:rsidRPr="008067E7">
        <w:rPr>
          <w:rStyle w:val="FootnoteReference"/>
          <w:sz w:val="24"/>
          <w:szCs w:val="24"/>
        </w:rPr>
        <w:footnoteReference w:id="80"/>
      </w:r>
      <w:r>
        <w:t xml:space="preserve"> </w:t>
      </w:r>
      <w:r w:rsidR="00CA55B9">
        <w:t>ensures</w:t>
      </w:r>
      <w:r w:rsidRPr="00160D8E">
        <w:t xml:space="preserve"> protection against</w:t>
      </w:r>
      <w:r>
        <w:t xml:space="preserve"> discrimination</w:t>
      </w:r>
      <w:r w:rsidR="00091D07">
        <w:t>,</w:t>
      </w:r>
      <w:r>
        <w:t xml:space="preserve"> based on, </w:t>
      </w:r>
      <w:r w:rsidR="0081272F">
        <w:rPr>
          <w:lang w:val="en-US"/>
        </w:rPr>
        <w:t>among others, sexual orientation</w:t>
      </w:r>
      <w:r w:rsidR="00431B6A">
        <w:rPr>
          <w:lang w:val="bg-BG"/>
        </w:rPr>
        <w:t xml:space="preserve"> – </w:t>
      </w:r>
      <w:r w:rsidR="00431B6A">
        <w:rPr>
          <w:lang w:val="en-US"/>
        </w:rPr>
        <w:t>heterosexual, homosexual or bisexual</w:t>
      </w:r>
      <w:r>
        <w:rPr>
          <w:lang w:val="en-US"/>
        </w:rPr>
        <w:t>.</w:t>
      </w:r>
      <w:r w:rsidR="00431B6A">
        <w:rPr>
          <w:lang w:val="en-US"/>
        </w:rPr>
        <w:t xml:space="preserve"> Thus, </w:t>
      </w:r>
      <w:r w:rsidR="00C91171">
        <w:rPr>
          <w:lang w:val="en-US"/>
        </w:rPr>
        <w:t xml:space="preserve">the Act </w:t>
      </w:r>
      <w:r w:rsidR="009223FD">
        <w:rPr>
          <w:lang w:val="en-US"/>
        </w:rPr>
        <w:t xml:space="preserve">takes a slightly outdated standpoint on sexual orientation, without mentioning gender identity, and its proper application </w:t>
      </w:r>
      <w:r w:rsidR="00663B2A">
        <w:rPr>
          <w:lang w:val="en-US"/>
        </w:rPr>
        <w:t>for the</w:t>
      </w:r>
      <w:r w:rsidR="009223FD">
        <w:rPr>
          <w:lang w:val="en-US"/>
        </w:rPr>
        <w:t xml:space="preserve"> vulnerability grounds of the LGBTQ+ community would be a matter of practice and case-law. </w:t>
      </w:r>
    </w:p>
    <w:p w14:paraId="6206646A" w14:textId="77777777" w:rsidR="0081272F" w:rsidRDefault="0081272F" w:rsidP="0032208C">
      <w:pPr>
        <w:pStyle w:val="FRABodyText"/>
      </w:pPr>
    </w:p>
    <w:p w14:paraId="52F2985D" w14:textId="53590891" w:rsidR="00AE4417" w:rsidRDefault="00BE4DB7" w:rsidP="0032208C">
      <w:pPr>
        <w:pStyle w:val="FRABodyText"/>
        <w:rPr>
          <w:lang w:val="en-US"/>
        </w:rPr>
      </w:pPr>
      <w:r>
        <w:t xml:space="preserve">In the absence of </w:t>
      </w:r>
      <w:r w:rsidR="00F000E6">
        <w:t xml:space="preserve">other </w:t>
      </w:r>
      <w:r>
        <w:t xml:space="preserve">specific legal regulation of LGBTQ+ persons, </w:t>
      </w:r>
      <w:r w:rsidR="00A97A34">
        <w:rPr>
          <w:lang w:val="en-US"/>
        </w:rPr>
        <w:t xml:space="preserve">most vulnerability factors are inferred </w:t>
      </w:r>
      <w:r w:rsidR="00D20040">
        <w:rPr>
          <w:lang w:val="en-US"/>
        </w:rPr>
        <w:t xml:space="preserve">from the lack of provisions in a number of important areas, leaving the community in a legal limbo. </w:t>
      </w:r>
      <w:r w:rsidR="002B4F78">
        <w:rPr>
          <w:lang w:val="en-US"/>
        </w:rPr>
        <w:t xml:space="preserve">The Constitution of the Republic of Bulgaria </w:t>
      </w:r>
      <w:r w:rsidR="002B4F78" w:rsidRPr="008B2A9F">
        <w:rPr>
          <w:i/>
          <w:lang w:val="en-US"/>
        </w:rPr>
        <w:t>(</w:t>
      </w:r>
      <w:r w:rsidR="002B4F78" w:rsidRPr="008B2A9F">
        <w:rPr>
          <w:i/>
          <w:lang w:val="bg-BG"/>
        </w:rPr>
        <w:t>Конституция на Република България</w:t>
      </w:r>
      <w:r w:rsidR="002B4F78" w:rsidRPr="008B2A9F">
        <w:rPr>
          <w:i/>
          <w:lang w:val="en-US"/>
        </w:rPr>
        <w:t>)</w:t>
      </w:r>
      <w:r w:rsidR="002B4F78">
        <w:rPr>
          <w:rStyle w:val="FootnoteReference"/>
        </w:rPr>
        <w:footnoteReference w:id="81"/>
      </w:r>
      <w:r w:rsidR="002B4F78">
        <w:rPr>
          <w:lang w:val="bg-BG"/>
        </w:rPr>
        <w:t xml:space="preserve"> </w:t>
      </w:r>
      <w:r w:rsidR="00596035">
        <w:rPr>
          <w:lang w:val="en-US"/>
        </w:rPr>
        <w:t xml:space="preserve">and the Family Code </w:t>
      </w:r>
      <w:r w:rsidR="00596035" w:rsidRPr="009D79F2">
        <w:rPr>
          <w:i/>
          <w:lang w:val="en-US"/>
        </w:rPr>
        <w:t>(</w:t>
      </w:r>
      <w:r w:rsidR="00596035" w:rsidRPr="009D79F2">
        <w:rPr>
          <w:i/>
          <w:lang w:val="bg-BG"/>
        </w:rPr>
        <w:t>Семеен кодекс</w:t>
      </w:r>
      <w:r w:rsidR="00596035" w:rsidRPr="009D79F2">
        <w:rPr>
          <w:i/>
          <w:lang w:val="en-US"/>
        </w:rPr>
        <w:t>)</w:t>
      </w:r>
      <w:r w:rsidR="00596035">
        <w:rPr>
          <w:rStyle w:val="FootnoteReference"/>
        </w:rPr>
        <w:footnoteReference w:id="82"/>
      </w:r>
      <w:r w:rsidR="00596035">
        <w:rPr>
          <w:i/>
          <w:lang w:val="en-US"/>
        </w:rPr>
        <w:t xml:space="preserve"> </w:t>
      </w:r>
      <w:r w:rsidR="00596035">
        <w:rPr>
          <w:lang w:val="en-US"/>
        </w:rPr>
        <w:t>proclaim</w:t>
      </w:r>
      <w:r w:rsidR="002B4F78">
        <w:rPr>
          <w:lang w:val="en-US"/>
        </w:rPr>
        <w:t xml:space="preserve"> </w:t>
      </w:r>
      <w:r w:rsidR="002B4F78">
        <w:t>marriage as a voluntary union between a man and a woman, thus same-sex marriages are denied</w:t>
      </w:r>
      <w:r w:rsidR="00596035">
        <w:t>.</w:t>
      </w:r>
      <w:r w:rsidR="009D79F2">
        <w:rPr>
          <w:lang w:val="en-US"/>
        </w:rPr>
        <w:t xml:space="preserve"> </w:t>
      </w:r>
      <w:r w:rsidR="00A5194F">
        <w:t>No de facto co-habitation for same-sex couples</w:t>
      </w:r>
      <w:r w:rsidR="0098319E">
        <w:t>, or legal recognition of common children,</w:t>
      </w:r>
      <w:r w:rsidR="00A5194F">
        <w:t xml:space="preserve"> </w:t>
      </w:r>
      <w:r w:rsidR="00D92EF2">
        <w:t xml:space="preserve">or explicit protection against domestic violence </w:t>
      </w:r>
      <w:r w:rsidR="0098319E">
        <w:t>are</w:t>
      </w:r>
      <w:r w:rsidR="00A5194F">
        <w:t xml:space="preserve"> regulated either</w:t>
      </w:r>
      <w:r w:rsidR="0076353D">
        <w:t xml:space="preserve">. </w:t>
      </w:r>
      <w:r w:rsidR="00AE4417">
        <w:t>Recent studies</w:t>
      </w:r>
      <w:r w:rsidR="00AE4417">
        <w:rPr>
          <w:rStyle w:val="FootnoteReference"/>
        </w:rPr>
        <w:footnoteReference w:id="83"/>
      </w:r>
      <w:r w:rsidR="0094769D">
        <w:t xml:space="preserve"> further elaborate on the </w:t>
      </w:r>
      <w:r w:rsidR="00AE4417" w:rsidRPr="00AE4417">
        <w:rPr>
          <w:lang w:val="bg-BG"/>
        </w:rPr>
        <w:t>lack of explicit regulation</w:t>
      </w:r>
      <w:r w:rsidR="0094769D">
        <w:rPr>
          <w:lang w:val="en-US"/>
        </w:rPr>
        <w:t xml:space="preserve"> </w:t>
      </w:r>
      <w:r w:rsidR="00AE4417" w:rsidRPr="00AE4417">
        <w:rPr>
          <w:lang w:val="bg-BG"/>
        </w:rPr>
        <w:t>on the consequences of a same-sex marriage, registered partnership or cohabitation formed in another</w:t>
      </w:r>
      <w:r w:rsidR="0094769D">
        <w:rPr>
          <w:lang w:val="en-US"/>
        </w:rPr>
        <w:t xml:space="preserve"> </w:t>
      </w:r>
      <w:r w:rsidR="00AE4417" w:rsidRPr="00AE4417">
        <w:rPr>
          <w:lang w:val="bg-BG"/>
        </w:rPr>
        <w:t xml:space="preserve">Member State, </w:t>
      </w:r>
      <w:r w:rsidR="0094769D">
        <w:rPr>
          <w:lang w:val="en-US"/>
        </w:rPr>
        <w:t xml:space="preserve">which </w:t>
      </w:r>
      <w:r w:rsidR="00AE4417" w:rsidRPr="00AE4417">
        <w:rPr>
          <w:lang w:val="bg-BG"/>
        </w:rPr>
        <w:t xml:space="preserve">constitutes </w:t>
      </w:r>
      <w:r w:rsidR="0094769D">
        <w:rPr>
          <w:lang w:val="en-US"/>
        </w:rPr>
        <w:t>‘</w:t>
      </w:r>
      <w:r w:rsidR="00AE4417" w:rsidRPr="00AE4417">
        <w:rPr>
          <w:lang w:val="bg-BG"/>
        </w:rPr>
        <w:t>a primary risk for systematic discrimination</w:t>
      </w:r>
      <w:r w:rsidR="0094769D">
        <w:rPr>
          <w:lang w:val="en-US"/>
        </w:rPr>
        <w:t xml:space="preserve"> </w:t>
      </w:r>
      <w:r w:rsidR="00AE4417" w:rsidRPr="00AE4417">
        <w:rPr>
          <w:lang w:val="bg-BG"/>
        </w:rPr>
        <w:t>and serious prejudice to the right to family formation,</w:t>
      </w:r>
      <w:r w:rsidR="0094769D">
        <w:rPr>
          <w:lang w:val="en-US"/>
        </w:rPr>
        <w:t xml:space="preserve"> </w:t>
      </w:r>
      <w:r w:rsidR="00AE4417" w:rsidRPr="00AE4417">
        <w:rPr>
          <w:lang w:val="bg-BG"/>
        </w:rPr>
        <w:t xml:space="preserve">marriage and respect for the private and </w:t>
      </w:r>
      <w:r w:rsidR="00AE4417" w:rsidRPr="00AE4417">
        <w:rPr>
          <w:lang w:val="bg-BG"/>
        </w:rPr>
        <w:lastRenderedPageBreak/>
        <w:t>family life, as well as</w:t>
      </w:r>
      <w:r w:rsidR="0094769D">
        <w:rPr>
          <w:lang w:val="en-US"/>
        </w:rPr>
        <w:t xml:space="preserve"> </w:t>
      </w:r>
      <w:r w:rsidR="00AE4417" w:rsidRPr="00AE4417">
        <w:rPr>
          <w:lang w:val="bg-BG"/>
        </w:rPr>
        <w:t>the right to equality before the law</w:t>
      </w:r>
      <w:r w:rsidR="0094769D">
        <w:rPr>
          <w:lang w:val="en-US"/>
        </w:rPr>
        <w:t>’</w:t>
      </w:r>
      <w:r w:rsidR="00AE4417" w:rsidRPr="00AE4417">
        <w:rPr>
          <w:lang w:val="bg-BG"/>
        </w:rPr>
        <w:t>.</w:t>
      </w:r>
      <w:r w:rsidR="006040A9">
        <w:rPr>
          <w:rStyle w:val="FootnoteReference"/>
          <w:lang w:val="bg-BG"/>
        </w:rPr>
        <w:footnoteReference w:id="84"/>
      </w:r>
      <w:r w:rsidR="00AE4417" w:rsidRPr="00AE4417">
        <w:rPr>
          <w:lang w:val="bg-BG"/>
        </w:rPr>
        <w:t xml:space="preserve"> </w:t>
      </w:r>
      <w:r w:rsidR="00D92EF2">
        <w:rPr>
          <w:lang w:val="en-US"/>
        </w:rPr>
        <w:t>S</w:t>
      </w:r>
      <w:r w:rsidR="006040A9">
        <w:rPr>
          <w:lang w:val="bg-BG"/>
        </w:rPr>
        <w:t>uch a situation</w:t>
      </w:r>
      <w:r w:rsidR="006040A9">
        <w:rPr>
          <w:lang w:val="en-US"/>
        </w:rPr>
        <w:t xml:space="preserve"> </w:t>
      </w:r>
      <w:r w:rsidR="00AE4417" w:rsidRPr="00AE4417">
        <w:rPr>
          <w:lang w:val="bg-BG"/>
        </w:rPr>
        <w:t>also affects</w:t>
      </w:r>
      <w:r w:rsidR="006040A9">
        <w:rPr>
          <w:lang w:val="en-US"/>
        </w:rPr>
        <w:t xml:space="preserve"> </w:t>
      </w:r>
      <w:r w:rsidR="00AE4417" w:rsidRPr="00AE4417">
        <w:rPr>
          <w:lang w:val="bg-BG"/>
        </w:rPr>
        <w:t>the right to human dignity</w:t>
      </w:r>
      <w:r w:rsidR="006040A9">
        <w:rPr>
          <w:lang w:val="en-US"/>
        </w:rPr>
        <w:t xml:space="preserve"> and the freedom of movement within the EU. </w:t>
      </w:r>
      <w:r w:rsidR="00AA0748">
        <w:rPr>
          <w:lang w:val="en-US"/>
        </w:rPr>
        <w:t xml:space="preserve">Moreover, </w:t>
      </w:r>
      <w:r w:rsidR="0098319E">
        <w:rPr>
          <w:lang w:val="en-US"/>
        </w:rPr>
        <w:t>third country nationals</w:t>
      </w:r>
      <w:r w:rsidR="00B213FA">
        <w:rPr>
          <w:lang w:val="en-US"/>
        </w:rPr>
        <w:t>, not being recognised as family member</w:t>
      </w:r>
      <w:r w:rsidR="0098319E">
        <w:rPr>
          <w:lang w:val="en-US"/>
        </w:rPr>
        <w:t>s</w:t>
      </w:r>
      <w:r w:rsidR="00B213FA">
        <w:rPr>
          <w:lang w:val="en-US"/>
        </w:rPr>
        <w:t>,</w:t>
      </w:r>
      <w:r w:rsidR="00AE4417" w:rsidRPr="00AE4417">
        <w:rPr>
          <w:lang w:val="bg-BG"/>
        </w:rPr>
        <w:t xml:space="preserve"> may encounter difficulties</w:t>
      </w:r>
      <w:r w:rsidR="00B213FA">
        <w:rPr>
          <w:lang w:val="en-US"/>
        </w:rPr>
        <w:t xml:space="preserve"> </w:t>
      </w:r>
      <w:r w:rsidR="00AE4417" w:rsidRPr="00AE4417">
        <w:rPr>
          <w:lang w:val="bg-BG"/>
        </w:rPr>
        <w:t xml:space="preserve">in </w:t>
      </w:r>
      <w:r w:rsidR="00413B46">
        <w:rPr>
          <w:lang w:val="en-US"/>
        </w:rPr>
        <w:t>employment or</w:t>
      </w:r>
      <w:r w:rsidR="00AE4417" w:rsidRPr="00AE4417">
        <w:rPr>
          <w:lang w:val="bg-BG"/>
        </w:rPr>
        <w:t xml:space="preserve"> independent economic</w:t>
      </w:r>
      <w:r w:rsidR="00B213FA">
        <w:rPr>
          <w:lang w:val="bg-BG"/>
        </w:rPr>
        <w:t xml:space="preserve"> </w:t>
      </w:r>
      <w:r w:rsidR="00AE4417" w:rsidRPr="00AE4417">
        <w:rPr>
          <w:lang w:val="bg-BG"/>
        </w:rPr>
        <w:t>activity.</w:t>
      </w:r>
      <w:r w:rsidR="001324E0">
        <w:rPr>
          <w:lang w:val="en-US"/>
        </w:rPr>
        <w:t xml:space="preserve"> </w:t>
      </w:r>
      <w:r w:rsidR="00AE4417" w:rsidRPr="00AE4417">
        <w:rPr>
          <w:lang w:val="bg-BG"/>
        </w:rPr>
        <w:t>LGBT</w:t>
      </w:r>
      <w:r w:rsidR="00EB07D2">
        <w:rPr>
          <w:lang w:val="en-US"/>
        </w:rPr>
        <w:t>Q+</w:t>
      </w:r>
      <w:r w:rsidR="00AE4417" w:rsidRPr="00AE4417">
        <w:rPr>
          <w:lang w:val="bg-BG"/>
        </w:rPr>
        <w:t xml:space="preserve"> individuals</w:t>
      </w:r>
      <w:r w:rsidR="00EB07D2">
        <w:rPr>
          <w:lang w:val="en-US"/>
        </w:rPr>
        <w:t xml:space="preserve"> would also suffer a discriminatory treatment </w:t>
      </w:r>
      <w:r w:rsidR="00AE4417" w:rsidRPr="00AE4417">
        <w:rPr>
          <w:lang w:val="bg-BG"/>
        </w:rPr>
        <w:t>in the field</w:t>
      </w:r>
      <w:r w:rsidR="00EB07D2">
        <w:rPr>
          <w:lang w:val="en-US"/>
        </w:rPr>
        <w:t>s of</w:t>
      </w:r>
      <w:r w:rsidR="00AE4417" w:rsidRPr="00AE4417">
        <w:rPr>
          <w:lang w:val="bg-BG"/>
        </w:rPr>
        <w:t xml:space="preserve"> </w:t>
      </w:r>
      <w:r w:rsidR="00413B46">
        <w:rPr>
          <w:lang w:val="bg-BG"/>
        </w:rPr>
        <w:t>taxation</w:t>
      </w:r>
      <w:r w:rsidR="00413B46">
        <w:rPr>
          <w:lang w:val="en-US"/>
        </w:rPr>
        <w:t>,</w:t>
      </w:r>
      <w:r w:rsidR="00AE4417" w:rsidRPr="00AE4417">
        <w:rPr>
          <w:lang w:val="bg-BG"/>
        </w:rPr>
        <w:t xml:space="preserve"> social </w:t>
      </w:r>
      <w:r w:rsidR="00EB07D2">
        <w:rPr>
          <w:lang w:val="bg-BG"/>
        </w:rPr>
        <w:t>insurance</w:t>
      </w:r>
      <w:r w:rsidR="00413B46">
        <w:rPr>
          <w:lang w:val="en-US"/>
        </w:rPr>
        <w:t xml:space="preserve"> and</w:t>
      </w:r>
      <w:r w:rsidR="00EB07D2">
        <w:rPr>
          <w:lang w:val="en-US"/>
        </w:rPr>
        <w:t xml:space="preserve"> inheritance</w:t>
      </w:r>
      <w:r w:rsidR="00D92EF2">
        <w:rPr>
          <w:lang w:val="en-US"/>
        </w:rPr>
        <w:t>,</w:t>
      </w:r>
      <w:r w:rsidR="00AE4417" w:rsidRPr="00AE4417">
        <w:rPr>
          <w:lang w:val="bg-BG"/>
        </w:rPr>
        <w:t xml:space="preserve"> criminal </w:t>
      </w:r>
      <w:r w:rsidR="00EA2E7E">
        <w:rPr>
          <w:lang w:val="en-US"/>
        </w:rPr>
        <w:t xml:space="preserve">procedure </w:t>
      </w:r>
      <w:r w:rsidR="00AE4417" w:rsidRPr="00AE4417">
        <w:rPr>
          <w:lang w:val="bg-BG"/>
        </w:rPr>
        <w:t xml:space="preserve">law, </w:t>
      </w:r>
      <w:r w:rsidR="00EA2E7E">
        <w:rPr>
          <w:lang w:val="en-US"/>
        </w:rPr>
        <w:t xml:space="preserve">regarding legal representation or incriminating questions, </w:t>
      </w:r>
      <w:r w:rsidR="00AE4417" w:rsidRPr="00AE4417">
        <w:rPr>
          <w:lang w:val="bg-BG"/>
        </w:rPr>
        <w:t>civ</w:t>
      </w:r>
      <w:r w:rsidR="00EA2E7E">
        <w:rPr>
          <w:lang w:val="bg-BG"/>
        </w:rPr>
        <w:t>il procedure, administrative</w:t>
      </w:r>
      <w:r w:rsidR="00EA2E7E">
        <w:rPr>
          <w:lang w:val="en-US"/>
        </w:rPr>
        <w:t xml:space="preserve"> </w:t>
      </w:r>
      <w:r w:rsidR="00AE4417" w:rsidRPr="00AE4417">
        <w:rPr>
          <w:lang w:val="bg-BG"/>
        </w:rPr>
        <w:t>procedure and tax law</w:t>
      </w:r>
      <w:r w:rsidR="00EA2E7E">
        <w:rPr>
          <w:lang w:val="en-US"/>
        </w:rPr>
        <w:t xml:space="preserve">. </w:t>
      </w:r>
      <w:r w:rsidR="00651F46">
        <w:rPr>
          <w:lang w:val="en-US"/>
        </w:rPr>
        <w:t xml:space="preserve">Thus, the situation of the LGBTQ+ community exhibits a number of vulnerability factors on both legal and practical level, which hinder the equal enjoyment of their rights. </w:t>
      </w:r>
    </w:p>
    <w:p w14:paraId="34567481" w14:textId="77777777" w:rsidR="00413B46" w:rsidRPr="009D79F2" w:rsidRDefault="00413B46" w:rsidP="0032208C">
      <w:pPr>
        <w:pStyle w:val="FRABodyText"/>
        <w:rPr>
          <w:lang w:val="bg-BG"/>
        </w:rPr>
      </w:pPr>
    </w:p>
    <w:p w14:paraId="7FBB803B" w14:textId="77777777" w:rsidR="00F106E0" w:rsidRDefault="00F106E0" w:rsidP="008E576F">
      <w:pPr>
        <w:numPr>
          <w:ilvl w:val="0"/>
          <w:numId w:val="4"/>
        </w:numPr>
        <w:spacing w:line="276" w:lineRule="auto"/>
        <w:rPr>
          <w:b/>
        </w:rPr>
      </w:pPr>
      <w:r w:rsidRPr="00F106E0">
        <w:rPr>
          <w:b/>
        </w:rPr>
        <w:t>Energy-poor Persons</w:t>
      </w:r>
    </w:p>
    <w:p w14:paraId="2B3071C9" w14:textId="5D6F3EE2" w:rsidR="005605CA" w:rsidRPr="006F59A6" w:rsidRDefault="008A44D7" w:rsidP="00824608">
      <w:pPr>
        <w:pStyle w:val="FRABodyText"/>
        <w:rPr>
          <w:lang w:val="en-US"/>
        </w:rPr>
      </w:pPr>
      <w:r>
        <w:rPr>
          <w:lang w:val="en-US"/>
        </w:rPr>
        <w:t xml:space="preserve">In addition to </w:t>
      </w:r>
      <w:r w:rsidR="006F59A6">
        <w:rPr>
          <w:lang w:val="en-US"/>
        </w:rPr>
        <w:t xml:space="preserve">defining vulnerable customers (see the section on definitions) </w:t>
      </w:r>
      <w:r w:rsidR="006F59A6">
        <w:t>t</w:t>
      </w:r>
      <w:r w:rsidR="005605CA" w:rsidRPr="005605CA">
        <w:t>he Energy Act (</w:t>
      </w:r>
      <w:r w:rsidR="005605CA" w:rsidRPr="005605CA">
        <w:rPr>
          <w:i/>
          <w:lang w:val="bg-BG"/>
        </w:rPr>
        <w:t>Закон за енергетиката</w:t>
      </w:r>
      <w:r w:rsidR="005605CA" w:rsidRPr="005605CA">
        <w:rPr>
          <w:lang w:val="bg-BG"/>
        </w:rPr>
        <w:t>)</w:t>
      </w:r>
      <w:r w:rsidR="005605CA" w:rsidRPr="00C1042C">
        <w:rPr>
          <w:rStyle w:val="FootnoteReference"/>
          <w:rFonts w:eastAsiaTheme="minorHAnsi"/>
          <w:lang w:val="bg-BG"/>
        </w:rPr>
        <w:footnoteReference w:id="85"/>
      </w:r>
      <w:r w:rsidR="006F59A6">
        <w:t xml:space="preserve"> has special rules with regard to those:</w:t>
      </w:r>
      <w:r w:rsidR="006F59A6">
        <w:rPr>
          <w:lang w:val="bg-BG"/>
        </w:rPr>
        <w:t xml:space="preserve"> </w:t>
      </w:r>
      <w:r w:rsidR="006F59A6">
        <w:rPr>
          <w:lang w:val="en-US"/>
        </w:rPr>
        <w:t>energy firms, providing services in public interest</w:t>
      </w:r>
      <w:r w:rsidR="00947E1B">
        <w:rPr>
          <w:lang w:val="en-US"/>
        </w:rPr>
        <w:t>,</w:t>
      </w:r>
      <w:r w:rsidR="00B57005">
        <w:rPr>
          <w:lang w:val="en-US"/>
        </w:rPr>
        <w:t xml:space="preserve"> should</w:t>
      </w:r>
      <w:r w:rsidR="006F59A6">
        <w:rPr>
          <w:lang w:val="en-US"/>
        </w:rPr>
        <w:t xml:space="preserve"> have special procedures for providing </w:t>
      </w:r>
      <w:r w:rsidR="00B57005">
        <w:rPr>
          <w:lang w:val="en-US"/>
        </w:rPr>
        <w:t>them</w:t>
      </w:r>
      <w:r w:rsidR="006F59A6">
        <w:rPr>
          <w:lang w:val="en-US"/>
        </w:rPr>
        <w:t xml:space="preserve"> with information, and the termination of energy provision for </w:t>
      </w:r>
      <w:r w:rsidR="00947E1B">
        <w:rPr>
          <w:lang w:val="en-US"/>
        </w:rPr>
        <w:t>them</w:t>
      </w:r>
      <w:r w:rsidR="006F59A6">
        <w:rPr>
          <w:lang w:val="en-US"/>
        </w:rPr>
        <w:t xml:space="preserve">. </w:t>
      </w:r>
    </w:p>
    <w:p w14:paraId="7C89EF9A" w14:textId="77777777" w:rsidR="005605CA" w:rsidRPr="005605CA" w:rsidRDefault="005605CA" w:rsidP="00824608">
      <w:pPr>
        <w:pStyle w:val="FRABodyText"/>
      </w:pPr>
    </w:p>
    <w:p w14:paraId="52B9E101" w14:textId="2963E3AB" w:rsidR="005605CA" w:rsidRDefault="005605CA" w:rsidP="00824608">
      <w:pPr>
        <w:pStyle w:val="FRABodyText"/>
      </w:pPr>
      <w:r w:rsidRPr="005605CA">
        <w:t>The Energy Efficiency Act (</w:t>
      </w:r>
      <w:r w:rsidRPr="005605CA">
        <w:rPr>
          <w:i/>
          <w:lang w:val="bg-BG"/>
        </w:rPr>
        <w:t>Закон за енергийната ефективност</w:t>
      </w:r>
      <w:r w:rsidRPr="005605CA">
        <w:t>)</w:t>
      </w:r>
      <w:r w:rsidRPr="00C1042C">
        <w:rPr>
          <w:rStyle w:val="FootnoteReference"/>
          <w:rFonts w:eastAsiaTheme="minorHAnsi"/>
        </w:rPr>
        <w:footnoteReference w:id="86"/>
      </w:r>
      <w:r w:rsidR="000D6BF6">
        <w:t xml:space="preserve"> regulate national action plans which may include priority measures for energy poor households or social housing. </w:t>
      </w:r>
      <w:r w:rsidRPr="005605CA">
        <w:t xml:space="preserve"> </w:t>
      </w:r>
    </w:p>
    <w:p w14:paraId="71A6069D" w14:textId="77777777" w:rsidR="000A1E24" w:rsidRDefault="000A1E24" w:rsidP="00824608">
      <w:pPr>
        <w:pStyle w:val="FRABodyText"/>
        <w:rPr>
          <w:rStyle w:val="tlid-translation"/>
        </w:rPr>
      </w:pPr>
    </w:p>
    <w:p w14:paraId="06483134" w14:textId="5F45FF11" w:rsidR="005605CA" w:rsidRDefault="005605CA" w:rsidP="00824608">
      <w:pPr>
        <w:pStyle w:val="FRABodyText"/>
        <w:rPr>
          <w:rStyle w:val="tlid-translation"/>
          <w:lang w:val="en"/>
        </w:rPr>
      </w:pPr>
      <w:r w:rsidRPr="0042099F">
        <w:rPr>
          <w:rStyle w:val="tlid-translation"/>
        </w:rPr>
        <w:t>The</w:t>
      </w:r>
      <w:r w:rsidRPr="0042099F">
        <w:t xml:space="preserve"> Social Assistance Act</w:t>
      </w:r>
      <w:r w:rsidRPr="005605CA">
        <w:rPr>
          <w:b/>
        </w:rPr>
        <w:t xml:space="preserve"> </w:t>
      </w:r>
      <w:r w:rsidRPr="0042099F">
        <w:t>(</w:t>
      </w:r>
      <w:r w:rsidRPr="005605CA">
        <w:rPr>
          <w:i/>
          <w:lang w:val="bg-BG"/>
        </w:rPr>
        <w:t>Закон за социално подпомагане</w:t>
      </w:r>
      <w:r w:rsidRPr="005605CA">
        <w:rPr>
          <w:i/>
        </w:rPr>
        <w:t>)</w:t>
      </w:r>
      <w:r w:rsidRPr="0042099F">
        <w:rPr>
          <w:rStyle w:val="FootnoteReference"/>
          <w:i/>
        </w:rPr>
        <w:footnoteReference w:id="87"/>
      </w:r>
      <w:r w:rsidRPr="005605CA">
        <w:rPr>
          <w:b/>
          <w:lang w:val="bg-BG"/>
        </w:rPr>
        <w:t xml:space="preserve"> </w:t>
      </w:r>
      <w:r w:rsidR="000607AD">
        <w:rPr>
          <w:lang w:val="en-US"/>
        </w:rPr>
        <w:t xml:space="preserve">introduces targeted social benefits for heating, </w:t>
      </w:r>
      <w:r w:rsidR="00AC7BB9">
        <w:rPr>
          <w:lang w:val="en-US"/>
        </w:rPr>
        <w:t>subject to</w:t>
      </w:r>
      <w:r w:rsidR="000607AD">
        <w:rPr>
          <w:lang w:val="en-US"/>
        </w:rPr>
        <w:t xml:space="preserve"> a special regulation</w:t>
      </w:r>
      <w:r w:rsidR="00AC7BB9">
        <w:rPr>
          <w:lang w:val="en-US"/>
        </w:rPr>
        <w:t>.</w:t>
      </w:r>
      <w:r w:rsidRPr="008A5FFA">
        <w:rPr>
          <w:rStyle w:val="FootnoteReference"/>
        </w:rPr>
        <w:footnoteReference w:id="88"/>
      </w:r>
      <w:r w:rsidR="00285266">
        <w:rPr>
          <w:lang w:val="bg-BG"/>
        </w:rPr>
        <w:t xml:space="preserve"> </w:t>
      </w:r>
      <w:r w:rsidR="00AC7BB9">
        <w:rPr>
          <w:lang w:val="en-US"/>
        </w:rPr>
        <w:t>It</w:t>
      </w:r>
      <w:r w:rsidR="00285266">
        <w:rPr>
          <w:lang w:val="en-US"/>
        </w:rPr>
        <w:t xml:space="preserve"> </w:t>
      </w:r>
      <w:r w:rsidR="00AC7BB9">
        <w:rPr>
          <w:lang w:val="en-US"/>
        </w:rPr>
        <w:t>provides for</w:t>
      </w:r>
      <w:r w:rsidR="00285266">
        <w:rPr>
          <w:lang w:val="en-US"/>
        </w:rPr>
        <w:t xml:space="preserve"> a special differentiated income for the purposes of heating aid</w:t>
      </w:r>
      <w:r w:rsidR="000C4CA2">
        <w:rPr>
          <w:lang w:val="en-US"/>
        </w:rPr>
        <w:t>, including for a number of otherwise vulnerable groups like children, people with disabilities, older persons</w:t>
      </w:r>
      <w:r w:rsidR="00285266">
        <w:rPr>
          <w:lang w:val="en-US"/>
        </w:rPr>
        <w:t xml:space="preserve">. </w:t>
      </w:r>
    </w:p>
    <w:p w14:paraId="0E5B102D" w14:textId="77777777" w:rsidR="00285266" w:rsidRDefault="00285266" w:rsidP="00824608">
      <w:pPr>
        <w:pStyle w:val="FRABodyText"/>
      </w:pPr>
    </w:p>
    <w:p w14:paraId="1A9439FC" w14:textId="6F147034" w:rsidR="005605CA" w:rsidRDefault="000C4CA2" w:rsidP="00824608">
      <w:pPr>
        <w:pStyle w:val="FRABodyText"/>
        <w:rPr>
          <w:rStyle w:val="tlid-translation"/>
          <w:lang w:val="en"/>
        </w:rPr>
      </w:pPr>
      <w:r>
        <w:rPr>
          <w:rStyle w:val="tlid-translation"/>
          <w:lang w:val="en"/>
        </w:rPr>
        <w:t xml:space="preserve">Thus, </w:t>
      </w:r>
      <w:r w:rsidR="0025214F">
        <w:rPr>
          <w:rStyle w:val="tlid-translation"/>
          <w:lang w:val="en"/>
        </w:rPr>
        <w:t>legal framework on those in energy poverty expressly links them with a number of other vulnerab</w:t>
      </w:r>
      <w:r w:rsidR="00B57005">
        <w:rPr>
          <w:rStyle w:val="tlid-translation"/>
          <w:lang w:val="en"/>
        </w:rPr>
        <w:t>le groups</w:t>
      </w:r>
      <w:r w:rsidR="0025214F">
        <w:rPr>
          <w:rStyle w:val="tlid-translation"/>
          <w:lang w:val="en"/>
        </w:rPr>
        <w:t xml:space="preserve">: social housing inhabitants, people with disabilities, (families with) children, older people. In this way, energy-poor persons are characterised with their additional vulnerabilities, while energy poverty turns out a decisive vulnerability factor for a number of other groups. </w:t>
      </w:r>
    </w:p>
    <w:p w14:paraId="389AD2B7" w14:textId="77777777" w:rsidR="000C4CA2" w:rsidRPr="005605CA" w:rsidRDefault="000C4CA2" w:rsidP="00824608">
      <w:pPr>
        <w:pStyle w:val="FRABodyText"/>
        <w:rPr>
          <w:rStyle w:val="tlid-translation"/>
          <w:lang w:val="en"/>
        </w:rPr>
      </w:pPr>
    </w:p>
    <w:p w14:paraId="58120BBA" w14:textId="77777777" w:rsidR="00F106E0" w:rsidRPr="00F106E0" w:rsidRDefault="00F106E0" w:rsidP="008E576F">
      <w:pPr>
        <w:numPr>
          <w:ilvl w:val="0"/>
          <w:numId w:val="4"/>
        </w:numPr>
        <w:spacing w:line="276" w:lineRule="auto"/>
        <w:rPr>
          <w:b/>
        </w:rPr>
      </w:pPr>
      <w:r w:rsidRPr="00F106E0">
        <w:rPr>
          <w:b/>
        </w:rPr>
        <w:t>Undeclared Workers</w:t>
      </w:r>
    </w:p>
    <w:p w14:paraId="3585CD92" w14:textId="54BA7F70" w:rsidR="00270290" w:rsidRPr="00824608" w:rsidRDefault="00270290" w:rsidP="00824608">
      <w:pPr>
        <w:pStyle w:val="FRABodyText"/>
      </w:pPr>
      <w:r w:rsidRPr="00824608">
        <w:lastRenderedPageBreak/>
        <w:t>Тhe Labo</w:t>
      </w:r>
      <w:r w:rsidR="008B23C0">
        <w:t>u</w:t>
      </w:r>
      <w:r w:rsidRPr="00824608">
        <w:t xml:space="preserve">r Code </w:t>
      </w:r>
      <w:r w:rsidRPr="008B23C0">
        <w:rPr>
          <w:i/>
          <w:iCs/>
        </w:rPr>
        <w:t>(Кодекс на труда)</w:t>
      </w:r>
      <w:r w:rsidR="00440317">
        <w:rPr>
          <w:rStyle w:val="FootnoteReference"/>
        </w:rPr>
        <w:footnoteReference w:id="89"/>
      </w:r>
      <w:r w:rsidR="00AB62C6">
        <w:t xml:space="preserve"> deals with a</w:t>
      </w:r>
      <w:r w:rsidR="00A84826">
        <w:t xml:space="preserve"> number of hypotheses of undeclared work via stringent regulation of the conclusion of </w:t>
      </w:r>
      <w:r w:rsidR="00400115">
        <w:t xml:space="preserve">written </w:t>
      </w:r>
      <w:r w:rsidR="00A84826">
        <w:t>labour contracts</w:t>
      </w:r>
      <w:r w:rsidR="00400115">
        <w:rPr>
          <w:lang w:val="bg-BG"/>
        </w:rPr>
        <w:t xml:space="preserve"> </w:t>
      </w:r>
      <w:r w:rsidR="00400115">
        <w:rPr>
          <w:lang w:val="en-US"/>
        </w:rPr>
        <w:t>with notification to tax authorities to prevent working without contract</w:t>
      </w:r>
      <w:r w:rsidR="00400115">
        <w:t>,</w:t>
      </w:r>
      <w:r w:rsidR="00A84826">
        <w:t xml:space="preserve"> </w:t>
      </w:r>
      <w:r w:rsidR="00400115">
        <w:t xml:space="preserve">and </w:t>
      </w:r>
      <w:r w:rsidR="00A84826">
        <w:t>fixed-term contracts</w:t>
      </w:r>
      <w:r w:rsidR="00400115" w:rsidRPr="00400115">
        <w:t xml:space="preserve"> </w:t>
      </w:r>
      <w:r w:rsidR="00400115">
        <w:t>and overtime</w:t>
      </w:r>
      <w:r w:rsidR="00A84826">
        <w:t xml:space="preserve">, </w:t>
      </w:r>
      <w:r w:rsidR="00400115">
        <w:t xml:space="preserve">which are only allowed in strictly defined cases, as all those have historically been used to </w:t>
      </w:r>
      <w:r w:rsidR="006332DC">
        <w:t>cover</w:t>
      </w:r>
      <w:r w:rsidR="00400115">
        <w:t xml:space="preserve"> undeclared work. </w:t>
      </w:r>
      <w:r w:rsidR="006332DC">
        <w:t>C</w:t>
      </w:r>
      <w:r w:rsidR="00A84826">
        <w:t>ontrol authorities</w:t>
      </w:r>
      <w:r w:rsidR="006332DC">
        <w:t xml:space="preserve"> may proclaim the existence of</w:t>
      </w:r>
      <w:r w:rsidR="00400115">
        <w:t xml:space="preserve"> a labour relationship if work </w:t>
      </w:r>
      <w:r w:rsidR="00AB62C6">
        <w:t>has been done</w:t>
      </w:r>
      <w:r w:rsidR="00400115">
        <w:t xml:space="preserve"> in violation of the labour legislation</w:t>
      </w:r>
      <w:r w:rsidR="00A84826">
        <w:t xml:space="preserve">. </w:t>
      </w:r>
      <w:r w:rsidR="00400115">
        <w:t xml:space="preserve">All those cases, seen in the light of the substantial guarantees the Code provides for employees, point to a number of vulnerabilities </w:t>
      </w:r>
      <w:r w:rsidR="00AB62C6">
        <w:t>undeclared workers</w:t>
      </w:r>
      <w:r w:rsidR="00400115">
        <w:t xml:space="preserve"> can experience: unpaid remuneration</w:t>
      </w:r>
      <w:r w:rsidR="00FE0D99">
        <w:t xml:space="preserve"> and social and health security contributions</w:t>
      </w:r>
      <w:r w:rsidR="00400115">
        <w:t xml:space="preserve">, </w:t>
      </w:r>
      <w:r w:rsidR="00FE0D99">
        <w:t xml:space="preserve">violations of health and safety at work, violations of the regime of paid/unpaid holidays, etc. </w:t>
      </w:r>
      <w:r w:rsidR="00FE0D99">
        <w:rPr>
          <w:lang w:val="en-US"/>
        </w:rPr>
        <w:t xml:space="preserve">Undeclared work may also be sanctioned under the </w:t>
      </w:r>
      <w:r w:rsidRPr="00824608">
        <w:t xml:space="preserve">Tax Insurance Procedure Code </w:t>
      </w:r>
      <w:r w:rsidRPr="00FE0D99">
        <w:rPr>
          <w:i/>
          <w:iCs/>
        </w:rPr>
        <w:t>(Данъчно-осигурителен процесуален кодекс)</w:t>
      </w:r>
      <w:r w:rsidR="00AB62C6">
        <w:t>,</w:t>
      </w:r>
      <w:r w:rsidR="00FE0D99" w:rsidRPr="00AB62C6">
        <w:rPr>
          <w:rStyle w:val="FootnoteReference"/>
        </w:rPr>
        <w:footnoteReference w:id="90"/>
      </w:r>
      <w:r w:rsidR="00FE0D99">
        <w:rPr>
          <w:i/>
          <w:iCs/>
        </w:rPr>
        <w:t xml:space="preserve"> </w:t>
      </w:r>
      <w:r w:rsidR="00FE0D99">
        <w:t>t</w:t>
      </w:r>
      <w:r w:rsidRPr="00824608">
        <w:t xml:space="preserve">he Social Security Code </w:t>
      </w:r>
      <w:r w:rsidRPr="00FE0D99">
        <w:rPr>
          <w:i/>
          <w:iCs/>
        </w:rPr>
        <w:t>(Кодекс за социално осигуряване)</w:t>
      </w:r>
      <w:r w:rsidR="00FE0D99">
        <w:t>,</w:t>
      </w:r>
      <w:r w:rsidR="00FE0D99">
        <w:rPr>
          <w:rStyle w:val="FootnoteReference"/>
          <w:i/>
          <w:iCs/>
        </w:rPr>
        <w:footnoteReference w:id="91"/>
      </w:r>
      <w:r w:rsidR="00FE0D99">
        <w:t xml:space="preserve"> </w:t>
      </w:r>
      <w:r w:rsidR="00AB62C6">
        <w:t>and</w:t>
      </w:r>
      <w:r w:rsidRPr="00824608">
        <w:t xml:space="preserve"> the Income Taxes on Natural Persons Act </w:t>
      </w:r>
      <w:r w:rsidRPr="00785B0C">
        <w:rPr>
          <w:i/>
          <w:iCs/>
        </w:rPr>
        <w:t>(Закон за данъците върху доходите на физическите лица)</w:t>
      </w:r>
      <w:r w:rsidR="006332DC">
        <w:rPr>
          <w:iCs/>
        </w:rPr>
        <w:t>.</w:t>
      </w:r>
      <w:r w:rsidR="00785B0C">
        <w:rPr>
          <w:rStyle w:val="FootnoteReference"/>
          <w:i/>
          <w:iCs/>
        </w:rPr>
        <w:footnoteReference w:id="92"/>
      </w:r>
      <w:r w:rsidR="00785B0C">
        <w:t xml:space="preserve"> Thus, undeclared workers can also suffer from various penalty proceedings, which can significantly interfere with their personal and economic sphere. </w:t>
      </w:r>
      <w:r w:rsidRPr="00824608">
        <w:t xml:space="preserve"> </w:t>
      </w:r>
    </w:p>
    <w:p w14:paraId="2D5C8477" w14:textId="77777777" w:rsidR="00785B0C" w:rsidRDefault="00785B0C" w:rsidP="00824608">
      <w:pPr>
        <w:pStyle w:val="FRABodyText"/>
      </w:pPr>
    </w:p>
    <w:p w14:paraId="692C2351" w14:textId="1D69B65E" w:rsidR="00270290" w:rsidRPr="00824608" w:rsidRDefault="006332DC" w:rsidP="00824608">
      <w:pPr>
        <w:pStyle w:val="FRABodyText"/>
      </w:pPr>
      <w:r>
        <w:t>T</w:t>
      </w:r>
      <w:r w:rsidR="00270290" w:rsidRPr="00824608">
        <w:t xml:space="preserve">he Employment Promotion Act </w:t>
      </w:r>
      <w:r w:rsidR="00270290" w:rsidRPr="00785B0C">
        <w:rPr>
          <w:i/>
          <w:iCs/>
        </w:rPr>
        <w:t>(Закон за насърчаване на заетостта)</w:t>
      </w:r>
      <w:r w:rsidR="00785B0C" w:rsidRPr="00785B0C">
        <w:rPr>
          <w:rStyle w:val="FootnoteReference"/>
        </w:rPr>
        <w:footnoteReference w:id="93"/>
      </w:r>
      <w:r w:rsidR="00785B0C">
        <w:rPr>
          <w:rStyle w:val="FootnoteReference"/>
          <w:vertAlign w:val="baseline"/>
        </w:rPr>
        <w:t xml:space="preserve"> provides for </w:t>
      </w:r>
      <w:r w:rsidR="00785B0C">
        <w:t>terminating unemployed persons’ registration at the labour bureaus if they have declared incorrect circumstances, presumably including hiding their undeclared work. Thus, undeclared workers may also lose their possible unemployment benefits.</w:t>
      </w:r>
      <w:r w:rsidR="00270290" w:rsidRPr="00824608">
        <w:t xml:space="preserve"> </w:t>
      </w:r>
    </w:p>
    <w:p w14:paraId="5D53CCFD" w14:textId="5E40EB10" w:rsidR="00270290" w:rsidRDefault="00270290" w:rsidP="00824608">
      <w:pPr>
        <w:pStyle w:val="FRABodyText"/>
      </w:pPr>
    </w:p>
    <w:p w14:paraId="7B86BCC5" w14:textId="49F3C487" w:rsidR="00785B0C" w:rsidRPr="006E7373" w:rsidRDefault="00AC2FC1" w:rsidP="00824608">
      <w:pPr>
        <w:pStyle w:val="FRABodyText"/>
        <w:rPr>
          <w:iCs/>
          <w:lang w:val="en-US"/>
        </w:rPr>
      </w:pPr>
      <w:r>
        <w:rPr>
          <w:lang w:val="en-US"/>
        </w:rPr>
        <w:t xml:space="preserve">A particular case of undeclared work in prohibited by the Labour Migration and Labour Mobility Act </w:t>
      </w:r>
      <w:r w:rsidRPr="00DE24FC">
        <w:rPr>
          <w:i/>
          <w:lang w:val="en-US"/>
        </w:rPr>
        <w:t>(</w:t>
      </w:r>
      <w:r w:rsidRPr="00DE24FC">
        <w:rPr>
          <w:i/>
          <w:lang w:val="bg-BG"/>
        </w:rPr>
        <w:t>Закон за трудовата миграция и трудовата мобилност</w:t>
      </w:r>
      <w:r w:rsidRPr="00DE24FC">
        <w:rPr>
          <w:i/>
          <w:lang w:val="en-US"/>
        </w:rPr>
        <w:t>)</w:t>
      </w:r>
      <w:r>
        <w:rPr>
          <w:rStyle w:val="FootnoteReference"/>
          <w:lang w:val="bg-BG"/>
        </w:rPr>
        <w:footnoteReference w:id="94"/>
      </w:r>
      <w:r w:rsidR="006E7373">
        <w:rPr>
          <w:iCs/>
          <w:lang w:val="bg-BG"/>
        </w:rPr>
        <w:t xml:space="preserve"> – </w:t>
      </w:r>
      <w:r w:rsidR="006E7373">
        <w:rPr>
          <w:iCs/>
          <w:lang w:val="en-US"/>
        </w:rPr>
        <w:t xml:space="preserve">the hiring of illegally residing third country nationals, whereas the employer owes to the foreigner the remuneration due for three months. Thus, Bulgarian legislation makes a link between, undeclared workers and foreigners, the latter being particularly vulnerable to all types of exploitation. </w:t>
      </w:r>
    </w:p>
    <w:p w14:paraId="30ADDF6F" w14:textId="7A0E8911" w:rsidR="00413573" w:rsidRPr="00A1666C" w:rsidRDefault="000261D1" w:rsidP="008E576F">
      <w:pPr>
        <w:pStyle w:val="FRAHeading1"/>
        <w:numPr>
          <w:ilvl w:val="0"/>
          <w:numId w:val="5"/>
        </w:numPr>
        <w:jc w:val="both"/>
      </w:pPr>
      <w:bookmarkStart w:id="7" w:name="_Toc18446561"/>
      <w:r w:rsidRPr="00A1666C">
        <w:t>Bulgarian policy frameworks addressing vulnerability</w:t>
      </w:r>
      <w:bookmarkEnd w:id="7"/>
    </w:p>
    <w:p w14:paraId="29993D02" w14:textId="77777777" w:rsidR="00DD26C6" w:rsidRDefault="000261D1" w:rsidP="0032208C">
      <w:r w:rsidRPr="00A1666C">
        <w:t xml:space="preserve">This section will provide a list of Bulgarian strategic and policy documents addressing vulnerability (see section 1). </w:t>
      </w:r>
      <w:r w:rsidR="00F96882" w:rsidRPr="00A1666C">
        <w:t>Both cases of targeted (specifically addressing vulnerability of the groups under section 1, identifiable by identity criteria</w:t>
      </w:r>
      <w:r w:rsidR="000644A2" w:rsidRPr="00A1666C">
        <w:t>, with possible within-group differentiation</w:t>
      </w:r>
      <w:r w:rsidR="00F96882" w:rsidRPr="00A1666C">
        <w:t>) and mainstream referral (addressing any individual in a vulnerable situation regardless of their group affiliation) will be reviewed</w:t>
      </w:r>
      <w:r w:rsidR="000644A2" w:rsidRPr="00A1666C">
        <w:t>, with risks they face.</w:t>
      </w:r>
      <w:r w:rsidR="00F96882" w:rsidRPr="00A1666C">
        <w:t xml:space="preserve"> </w:t>
      </w:r>
      <w:r w:rsidR="000644A2" w:rsidRPr="00A1666C">
        <w:t>The section will also review which of these are operationali</w:t>
      </w:r>
      <w:r w:rsidR="009B784F">
        <w:t>s</w:t>
      </w:r>
      <w:r w:rsidR="000644A2" w:rsidRPr="00A1666C">
        <w:t xml:space="preserve">ed in action plans. </w:t>
      </w:r>
      <w:r w:rsidR="00F96882" w:rsidRPr="00A1666C">
        <w:t xml:space="preserve">Some examples include </w:t>
      </w:r>
      <w:r w:rsidR="000644A2" w:rsidRPr="00A1666C">
        <w:t xml:space="preserve">National Strategies (e.g. on Roma inclusion), strategies for social inclusion, improving employability, plans, programmes, etc. For those referring to relevant international standards, the respective reference will be provided. If some of the groups under section 1 do not practically enjoy equal access to mainstream policies (addressing vulnerability regardless of individual group-related </w:t>
      </w:r>
      <w:r w:rsidR="000644A2" w:rsidRPr="00A1666C">
        <w:lastRenderedPageBreak/>
        <w:t xml:space="preserve">characteristics), a list of possible factors preventing them from enjoyment of their rights will be provided. When possible, overview of resource allocation will be provided. </w:t>
      </w:r>
      <w:r w:rsidR="00413573" w:rsidRPr="00A1666C">
        <w:t xml:space="preserve">The information will be presented by groups, as follows. </w:t>
      </w:r>
    </w:p>
    <w:p w14:paraId="196176EC" w14:textId="3D8B71CB" w:rsidR="00413573" w:rsidRPr="00A1666C" w:rsidRDefault="00413573" w:rsidP="0032208C">
      <w:r w:rsidRPr="00A1666C">
        <w:t xml:space="preserve"> </w:t>
      </w:r>
    </w:p>
    <w:p w14:paraId="0E57E6E1" w14:textId="09773A88" w:rsidR="00413573" w:rsidRPr="00A1666C" w:rsidRDefault="00661867" w:rsidP="008E576F">
      <w:pPr>
        <w:pStyle w:val="ListParagraph"/>
        <w:numPr>
          <w:ilvl w:val="0"/>
          <w:numId w:val="6"/>
        </w:numPr>
        <w:spacing w:line="276" w:lineRule="auto"/>
      </w:pPr>
      <w:r>
        <w:rPr>
          <w:b/>
        </w:rPr>
        <w:t>Roma</w:t>
      </w:r>
    </w:p>
    <w:p w14:paraId="0F6D054B" w14:textId="2B06BBB6" w:rsidR="00F80D80" w:rsidRDefault="002F2F75" w:rsidP="0032208C">
      <w:pPr>
        <w:pStyle w:val="FRABodyText"/>
      </w:pPr>
      <w:r>
        <w:rPr>
          <w:bCs/>
        </w:rPr>
        <w:t xml:space="preserve">The </w:t>
      </w:r>
      <w:r w:rsidR="00661867" w:rsidRPr="002F2F75">
        <w:rPr>
          <w:bCs/>
        </w:rPr>
        <w:t>Framework Programme for Integration of Roma into Bulgarian Society</w:t>
      </w:r>
      <w:r w:rsidR="00661867" w:rsidRPr="002F2F75">
        <w:rPr>
          <w:rStyle w:val="FootnoteReference"/>
          <w:bCs/>
          <w:sz w:val="24"/>
          <w:szCs w:val="24"/>
        </w:rPr>
        <w:footnoteReference w:id="95"/>
      </w:r>
      <w:r w:rsidR="00661867">
        <w:rPr>
          <w:b/>
        </w:rPr>
        <w:t xml:space="preserve"> </w:t>
      </w:r>
      <w:r w:rsidR="00661867">
        <w:t xml:space="preserve">focuses on </w:t>
      </w:r>
      <w:r w:rsidR="001A3A0D">
        <w:t>their</w:t>
      </w:r>
      <w:r w:rsidR="00661867">
        <w:t xml:space="preserve"> equal opportunities and access to rights</w:t>
      </w:r>
      <w:r w:rsidR="00D06CED">
        <w:t xml:space="preserve"> and</w:t>
      </w:r>
      <w:r w:rsidR="00661867">
        <w:t xml:space="preserve"> services</w:t>
      </w:r>
      <w:r>
        <w:rPr>
          <w:lang w:val="bg-BG"/>
        </w:rPr>
        <w:t>,</w:t>
      </w:r>
      <w:r w:rsidR="00661867">
        <w:t xml:space="preserve"> while respecting the principle</w:t>
      </w:r>
      <w:r>
        <w:rPr>
          <w:lang w:val="bg-BG"/>
        </w:rPr>
        <w:t xml:space="preserve"> </w:t>
      </w:r>
      <w:r>
        <w:rPr>
          <w:lang w:val="en-US"/>
        </w:rPr>
        <w:t>of</w:t>
      </w:r>
      <w:r w:rsidR="00661867">
        <w:t xml:space="preserve"> non-discrimination.</w:t>
      </w:r>
      <w:r>
        <w:t xml:space="preserve"> </w:t>
      </w:r>
      <w:r w:rsidR="00DB550F">
        <w:t xml:space="preserve">It has </w:t>
      </w:r>
      <w:r w:rsidR="001A3A0D">
        <w:t>several</w:t>
      </w:r>
      <w:r w:rsidR="00DB550F">
        <w:t xml:space="preserve"> priority areas</w:t>
      </w:r>
      <w:r w:rsidR="001A3A0D">
        <w:t xml:space="preserve"> -</w:t>
      </w:r>
      <w:r w:rsidR="00DB550F">
        <w:t xml:space="preserve"> education, healthcare, housing, employment, non-discrimination and equal opportunities, culture</w:t>
      </w:r>
      <w:r w:rsidR="001A3A0D">
        <w:t xml:space="preserve"> -</w:t>
      </w:r>
      <w:r w:rsidR="00DB550F">
        <w:t xml:space="preserve"> </w:t>
      </w:r>
      <w:r w:rsidR="005C77B9">
        <w:t xml:space="preserve">thus pointing to a number of vulnerability factors. Among those are </w:t>
      </w:r>
      <w:r w:rsidR="00690FAB">
        <w:t>lack of equal access to quality education</w:t>
      </w:r>
      <w:r w:rsidR="00F80D80">
        <w:t xml:space="preserve"> and quality healthcare, segregated housing, unemployment and undeclared work, negative attitudes and prejudice.</w:t>
      </w:r>
    </w:p>
    <w:p w14:paraId="2527C5BB" w14:textId="77777777" w:rsidR="004F5FEA" w:rsidRDefault="004F5FEA" w:rsidP="0032208C">
      <w:pPr>
        <w:pStyle w:val="FRABodyText"/>
        <w:rPr>
          <w:lang w:val="en-US"/>
        </w:rPr>
      </w:pPr>
    </w:p>
    <w:p w14:paraId="0D3964A4" w14:textId="078A64BA" w:rsidR="00661867" w:rsidRPr="00654F47" w:rsidRDefault="001B4559" w:rsidP="0032208C">
      <w:pPr>
        <w:pStyle w:val="FRABodyText"/>
        <w:rPr>
          <w:lang w:val="bg-BG"/>
        </w:rPr>
      </w:pPr>
      <w:r>
        <w:rPr>
          <w:lang w:val="en-US"/>
        </w:rPr>
        <w:t>T</w:t>
      </w:r>
      <w:r w:rsidR="00F80D80">
        <w:rPr>
          <w:lang w:val="en-US"/>
        </w:rPr>
        <w:t>he</w:t>
      </w:r>
      <w:r w:rsidR="00DD26C6">
        <w:rPr>
          <w:lang w:val="en-US"/>
        </w:rPr>
        <w:t xml:space="preserve"> national strategy for Roma integration</w:t>
      </w:r>
      <w:r w:rsidR="00DD26C6">
        <w:rPr>
          <w:rStyle w:val="FootnoteReference"/>
          <w:lang w:val="en-US"/>
        </w:rPr>
        <w:footnoteReference w:id="96"/>
      </w:r>
      <w:r w:rsidR="00F80D80">
        <w:t xml:space="preserve"> </w:t>
      </w:r>
      <w:r w:rsidR="00661867">
        <w:t xml:space="preserve">aims at the integration and social inclusion of </w:t>
      </w:r>
      <w:r w:rsidR="000D6E85">
        <w:t xml:space="preserve">Roma and vulnerable </w:t>
      </w:r>
      <w:r w:rsidR="00661867">
        <w:t xml:space="preserve">Bulgarian citizens </w:t>
      </w:r>
      <w:r w:rsidR="000D6E85">
        <w:t>from</w:t>
      </w:r>
      <w:r w:rsidR="00661867">
        <w:t xml:space="preserve"> other ethnic groups, by ensuring equal opportunities and access to rights</w:t>
      </w:r>
      <w:r w:rsidR="00DD26C6">
        <w:t xml:space="preserve"> and</w:t>
      </w:r>
      <w:r w:rsidR="00661867">
        <w:t xml:space="preserve"> services. Its priorities are education, healthcare, housing conditions, employment, rule of law and non-discrimination, culture and media.</w:t>
      </w:r>
      <w:r w:rsidR="00942B09">
        <w:rPr>
          <w:lang w:val="bg-BG"/>
        </w:rPr>
        <w:t xml:space="preserve"> </w:t>
      </w:r>
      <w:r w:rsidR="00942B09">
        <w:rPr>
          <w:lang w:val="en-US"/>
        </w:rPr>
        <w:t>The</w:t>
      </w:r>
      <w:r w:rsidR="00513F85">
        <w:rPr>
          <w:lang w:val="en-US"/>
        </w:rPr>
        <w:t xml:space="preserve"> Strategy builds upon the </w:t>
      </w:r>
      <w:r w:rsidR="00550EEC">
        <w:rPr>
          <w:lang w:val="en-US"/>
        </w:rPr>
        <w:t xml:space="preserve">list of </w:t>
      </w:r>
      <w:r w:rsidR="00513F85">
        <w:rPr>
          <w:lang w:val="en-US"/>
        </w:rPr>
        <w:t>vulnerability factors</w:t>
      </w:r>
      <w:r w:rsidR="00AA3C4F">
        <w:rPr>
          <w:lang w:val="bg-BG"/>
        </w:rPr>
        <w:t xml:space="preserve"> </w:t>
      </w:r>
      <w:r w:rsidR="00AA3C4F">
        <w:rPr>
          <w:lang w:val="en-US"/>
        </w:rPr>
        <w:t>from</w:t>
      </w:r>
      <w:r w:rsidR="00513F85">
        <w:rPr>
          <w:lang w:val="en-US"/>
        </w:rPr>
        <w:t xml:space="preserve"> the Framework Programme, </w:t>
      </w:r>
      <w:r w:rsidR="00082062">
        <w:rPr>
          <w:lang w:val="en-US"/>
        </w:rPr>
        <w:t xml:space="preserve">like </w:t>
      </w:r>
      <w:r w:rsidR="00082062">
        <w:t xml:space="preserve">spatial isolation leading to social isolation with worse living conditions, access to services, deteriorating infrastructure, cleanliness, etc., with strong negative implications especially for Roma children, </w:t>
      </w:r>
      <w:r w:rsidR="00673D85">
        <w:t xml:space="preserve">lack of basic infrastructure in Roma neighbourhoods, exclusion from the labour market, illiteracy/low level of education affecting especially Roma women, </w:t>
      </w:r>
      <w:r w:rsidR="00082062">
        <w:t>very early onset of disabilities and a premature loss of work capacity.</w:t>
      </w:r>
      <w:r w:rsidR="00673D85">
        <w:t xml:space="preserve"> The Strategy emphasises further a number of factors the framework programme only mentions, like</w:t>
      </w:r>
      <w:r w:rsidR="00513F85">
        <w:rPr>
          <w:lang w:val="en-US"/>
        </w:rPr>
        <w:t xml:space="preserve"> human trafficking, hate speech and hate crime. </w:t>
      </w:r>
    </w:p>
    <w:p w14:paraId="5661FBD7" w14:textId="77777777" w:rsidR="00513F85" w:rsidRDefault="00513F85" w:rsidP="0032208C">
      <w:pPr>
        <w:pStyle w:val="FRABodyText"/>
        <w:rPr>
          <w:lang w:val="en-US"/>
        </w:rPr>
      </w:pPr>
    </w:p>
    <w:p w14:paraId="7D4FBAEE" w14:textId="6346F6A1" w:rsidR="007C61D5" w:rsidRPr="004A243D" w:rsidRDefault="00673D85" w:rsidP="0032208C">
      <w:pPr>
        <w:pStyle w:val="FRABodyText"/>
        <w:rPr>
          <w:lang w:val="en-US"/>
        </w:rPr>
      </w:pPr>
      <w:r>
        <w:t xml:space="preserve">The Strategy is supposed to combine objectives and measures from other </w:t>
      </w:r>
      <w:r w:rsidR="00DD26C6">
        <w:t xml:space="preserve">sectoral </w:t>
      </w:r>
      <w:r>
        <w:t xml:space="preserve">documents related to Roma integration such as </w:t>
      </w:r>
      <w:r w:rsidR="00DD26C6">
        <w:t>the strategies for educational integration of minorities</w:t>
      </w:r>
      <w:r w:rsidR="00FF3E6A">
        <w:rPr>
          <w:i/>
          <w:iCs/>
          <w:lang w:val="bg-BG"/>
        </w:rPr>
        <w:t>,</w:t>
      </w:r>
      <w:r w:rsidR="008C5161" w:rsidRPr="00DD26C6">
        <w:rPr>
          <w:rStyle w:val="FootnoteReference"/>
          <w:lang w:val="bg-BG"/>
        </w:rPr>
        <w:footnoteReference w:id="97"/>
      </w:r>
      <w:r>
        <w:t xml:space="preserve"> </w:t>
      </w:r>
      <w:r w:rsidR="00DD26C6">
        <w:t xml:space="preserve">the </w:t>
      </w:r>
      <w:r w:rsidR="00DD26C6">
        <w:lastRenderedPageBreak/>
        <w:t>health strategy for minorities</w:t>
      </w:r>
      <w:r w:rsidR="008C5161" w:rsidRPr="00DD26C6">
        <w:rPr>
          <w:rStyle w:val="FootnoteReference"/>
          <w:lang w:val="bg-BG"/>
        </w:rPr>
        <w:footnoteReference w:id="98"/>
      </w:r>
      <w:r w:rsidR="00DD26C6">
        <w:rPr>
          <w:lang w:val="en-US"/>
        </w:rPr>
        <w:t xml:space="preserve"> and well as the national housing programme</w:t>
      </w:r>
      <w:r w:rsidR="008C5161">
        <w:rPr>
          <w:rStyle w:val="FootnoteReference"/>
        </w:rPr>
        <w:footnoteReference w:id="99"/>
      </w:r>
      <w:r w:rsidR="0070600E">
        <w:t xml:space="preserve"> Those </w:t>
      </w:r>
      <w:r w:rsidR="00B276E1">
        <w:t xml:space="preserve">include specific </w:t>
      </w:r>
      <w:r w:rsidR="00173B36">
        <w:t>vulnerability factors</w:t>
      </w:r>
      <w:r w:rsidR="00B276E1">
        <w:t xml:space="preserve"> like Roma neighbourhoods’ infrastructure, </w:t>
      </w:r>
      <w:r w:rsidR="00173B36">
        <w:t xml:space="preserve">lack of </w:t>
      </w:r>
      <w:r w:rsidR="00B276E1">
        <w:t xml:space="preserve">intercultural education and </w:t>
      </w:r>
      <w:r w:rsidR="00173B36">
        <w:t xml:space="preserve">measures to </w:t>
      </w:r>
      <w:r w:rsidR="00B276E1">
        <w:t>keep minority children’s identity, specific health vulnerabilities of minorities.</w:t>
      </w:r>
      <w:r w:rsidR="001B4559">
        <w:t xml:space="preserve"> </w:t>
      </w:r>
      <w:r w:rsidR="00654F47">
        <w:rPr>
          <w:bCs/>
        </w:rPr>
        <w:t xml:space="preserve">The National </w:t>
      </w:r>
      <w:r w:rsidR="00173B36">
        <w:rPr>
          <w:bCs/>
        </w:rPr>
        <w:t xml:space="preserve">Roma Integration </w:t>
      </w:r>
      <w:r w:rsidR="00654F47">
        <w:rPr>
          <w:bCs/>
        </w:rPr>
        <w:t>Strategy is operationalised in a</w:t>
      </w:r>
      <w:r w:rsidR="001B4559">
        <w:rPr>
          <w:bCs/>
        </w:rPr>
        <w:t>n</w:t>
      </w:r>
      <w:r w:rsidR="00654F47">
        <w:rPr>
          <w:bCs/>
        </w:rPr>
        <w:t xml:space="preserve"> </w:t>
      </w:r>
      <w:r w:rsidR="00654F47" w:rsidRPr="00654F47">
        <w:rPr>
          <w:bCs/>
        </w:rPr>
        <w:t>2015-2020</w:t>
      </w:r>
      <w:r w:rsidR="00654F47">
        <w:rPr>
          <w:bCs/>
        </w:rPr>
        <w:t xml:space="preserve"> </w:t>
      </w:r>
      <w:r w:rsidR="00661867" w:rsidRPr="00654F47">
        <w:rPr>
          <w:bCs/>
        </w:rPr>
        <w:t>Action Plan</w:t>
      </w:r>
      <w:r w:rsidR="00173B36">
        <w:t>.</w:t>
      </w:r>
      <w:r w:rsidR="006C0382">
        <w:t xml:space="preserve"> </w:t>
      </w:r>
      <w:r w:rsidR="007C61D5">
        <w:rPr>
          <w:lang w:val="en-US"/>
        </w:rPr>
        <w:t>One of the key recent</w:t>
      </w:r>
      <w:r w:rsidR="006C0382">
        <w:rPr>
          <w:lang w:val="en-US"/>
        </w:rPr>
        <w:t xml:space="preserve"> sectoral</w:t>
      </w:r>
      <w:r w:rsidR="007C61D5">
        <w:rPr>
          <w:lang w:val="en-US"/>
        </w:rPr>
        <w:t xml:space="preserve"> strategies, also concerning the Roma population, </w:t>
      </w:r>
      <w:r w:rsidR="001B4559">
        <w:rPr>
          <w:lang w:val="en-US"/>
        </w:rPr>
        <w:t>concern school drop-outs.</w:t>
      </w:r>
      <w:r w:rsidR="004A243D" w:rsidRPr="00121E1C">
        <w:rPr>
          <w:rStyle w:val="FootnoteReference"/>
          <w:iCs/>
          <w:lang w:val="en-US"/>
        </w:rPr>
        <w:footnoteReference w:id="100"/>
      </w:r>
      <w:r w:rsidR="004A243D">
        <w:rPr>
          <w:i/>
          <w:lang w:val="en-US"/>
        </w:rPr>
        <w:t xml:space="preserve"> </w:t>
      </w:r>
      <w:r w:rsidR="004A243D">
        <w:rPr>
          <w:lang w:val="en-US"/>
        </w:rPr>
        <w:t xml:space="preserve">It </w:t>
      </w:r>
      <w:r w:rsidR="001B4559">
        <w:rPr>
          <w:lang w:val="en-US"/>
        </w:rPr>
        <w:t>emphasises</w:t>
      </w:r>
      <w:r w:rsidR="004A243D">
        <w:rPr>
          <w:lang w:val="en-US"/>
        </w:rPr>
        <w:t xml:space="preserve"> the low level of enrolment of Roma in pre-school and all levels of schooling as a specific vulnerability factor. It is operationali</w:t>
      </w:r>
      <w:r w:rsidR="006C0382">
        <w:rPr>
          <w:lang w:val="en-US"/>
        </w:rPr>
        <w:t>s</w:t>
      </w:r>
      <w:r w:rsidR="004A243D">
        <w:rPr>
          <w:lang w:val="en-US"/>
        </w:rPr>
        <w:t>ed in consecutive action plans for 2014-2015, 2016-2017 and 2018-2020.</w:t>
      </w:r>
    </w:p>
    <w:p w14:paraId="713C9A3F" w14:textId="77777777" w:rsidR="005E009B" w:rsidRDefault="005E009B" w:rsidP="0032208C">
      <w:pPr>
        <w:pStyle w:val="FRABodyText"/>
        <w:tabs>
          <w:tab w:val="left" w:pos="1030"/>
        </w:tabs>
        <w:rPr>
          <w:b/>
        </w:rPr>
      </w:pPr>
    </w:p>
    <w:p w14:paraId="3384462C" w14:textId="40EB07A7" w:rsidR="005E009B" w:rsidRPr="00215A76" w:rsidRDefault="005E009B" w:rsidP="0032208C">
      <w:pPr>
        <w:pStyle w:val="FRABodyText"/>
        <w:tabs>
          <w:tab w:val="left" w:pos="1030"/>
        </w:tabs>
        <w:rPr>
          <w:lang w:val="bg-BG"/>
        </w:rPr>
      </w:pPr>
      <w:r>
        <w:rPr>
          <w:lang w:val="en-US"/>
        </w:rPr>
        <w:t xml:space="preserve">Regarding mainstream strategies, </w:t>
      </w:r>
      <w:r w:rsidR="00496321">
        <w:rPr>
          <w:lang w:val="en-US"/>
        </w:rPr>
        <w:t>the national anti-poverty and social inclusion strategy</w:t>
      </w:r>
      <w:r w:rsidR="00496321">
        <w:rPr>
          <w:rStyle w:val="FootnoteReference"/>
          <w:lang w:val="en-US"/>
        </w:rPr>
        <w:footnoteReference w:id="101"/>
      </w:r>
      <w:r w:rsidR="00496321">
        <w:rPr>
          <w:lang w:val="en-US"/>
        </w:rPr>
        <w:t xml:space="preserve"> mentions the </w:t>
      </w:r>
      <w:r w:rsidR="00C51529">
        <w:rPr>
          <w:lang w:val="en-US"/>
        </w:rPr>
        <w:t xml:space="preserve">persistent poverty and </w:t>
      </w:r>
      <w:r w:rsidR="00496321">
        <w:rPr>
          <w:lang w:val="en-US"/>
        </w:rPr>
        <w:t xml:space="preserve">unsatisfactory living conditions of Roma, </w:t>
      </w:r>
      <w:r w:rsidR="00550C08">
        <w:rPr>
          <w:lang w:val="en-US"/>
        </w:rPr>
        <w:t xml:space="preserve">the community’s vulnerable representatives as one of its target groups, </w:t>
      </w:r>
      <w:r w:rsidR="007A3F0C">
        <w:rPr>
          <w:lang w:val="en-US"/>
        </w:rPr>
        <w:t xml:space="preserve">and the need to raise capacity to work in multiethnic environments. </w:t>
      </w:r>
      <w:r w:rsidR="00CF37C8">
        <w:rPr>
          <w:lang w:val="en-US"/>
        </w:rPr>
        <w:t xml:space="preserve">Children from vulnerable ethnic groups are mentioned as needing equal access to education. </w:t>
      </w:r>
      <w:r w:rsidR="00F229CE">
        <w:rPr>
          <w:lang w:val="en-US"/>
        </w:rPr>
        <w:t xml:space="preserve">The Strategy is operationalized into bi-annual action plans, with reports on their implementation. </w:t>
      </w:r>
      <w:r w:rsidR="00215A76">
        <w:rPr>
          <w:lang w:val="en-US"/>
        </w:rPr>
        <w:t>Roma are also among the main target groups of the national employment action plan.</w:t>
      </w:r>
      <w:r w:rsidR="00215A76">
        <w:rPr>
          <w:rStyle w:val="FootnoteReference"/>
          <w:lang w:val="en-US"/>
        </w:rPr>
        <w:footnoteReference w:id="102"/>
      </w:r>
    </w:p>
    <w:p w14:paraId="1FFFF69B" w14:textId="7484CEA9" w:rsidR="006761DB" w:rsidRDefault="008C5161" w:rsidP="0032208C">
      <w:pPr>
        <w:pStyle w:val="FRABodyText"/>
        <w:tabs>
          <w:tab w:val="left" w:pos="1030"/>
        </w:tabs>
        <w:rPr>
          <w:b/>
        </w:rPr>
      </w:pPr>
      <w:r>
        <w:rPr>
          <w:b/>
        </w:rPr>
        <w:tab/>
      </w:r>
    </w:p>
    <w:p w14:paraId="0F73D0E8" w14:textId="64F7A878" w:rsidR="00661867" w:rsidRDefault="001B4559" w:rsidP="0032208C">
      <w:pPr>
        <w:pStyle w:val="FRABodyText"/>
        <w:rPr>
          <w:lang w:val="en-US"/>
        </w:rPr>
      </w:pPr>
      <w:r>
        <w:rPr>
          <w:lang w:val="en-US"/>
        </w:rPr>
        <w:t>By way of example of the activities of NGOs in the area,</w:t>
      </w:r>
      <w:r w:rsidR="00550EEC">
        <w:rPr>
          <w:lang w:val="en-US"/>
        </w:rPr>
        <w:t xml:space="preserve"> the </w:t>
      </w:r>
      <w:r w:rsidR="00661867" w:rsidRPr="00550EEC">
        <w:t>Civil Society Monitoring Report on Implementation of the National Roma Integration Strategy in Bulgaria</w:t>
      </w:r>
      <w:r w:rsidR="00550EEC">
        <w:t>,</w:t>
      </w:r>
      <w:r w:rsidR="00661867" w:rsidRPr="00550EEC">
        <w:rPr>
          <w:rStyle w:val="FootnoteReference"/>
          <w:sz w:val="24"/>
          <w:szCs w:val="24"/>
        </w:rPr>
        <w:footnoteReference w:id="103"/>
      </w:r>
      <w:r w:rsidR="00550EEC">
        <w:t xml:space="preserve"> </w:t>
      </w:r>
      <w:r w:rsidR="00BF02BB">
        <w:t>points to</w:t>
      </w:r>
      <w:r w:rsidR="00661867">
        <w:t xml:space="preserve"> </w:t>
      </w:r>
      <w:r w:rsidR="00661867">
        <w:lastRenderedPageBreak/>
        <w:t>improvements with the use of EU funds for Roma inclusion, the participation in different levels of education, whilst pointing out that segregation is still present</w:t>
      </w:r>
      <w:r w:rsidR="006F546D">
        <w:t xml:space="preserve"> and</w:t>
      </w:r>
      <w:r w:rsidR="00661867">
        <w:t xml:space="preserve"> there is observable deterioration in the fields of governance and antigypsyism. </w:t>
      </w:r>
      <w:r w:rsidR="00BF02BB">
        <w:t>I</w:t>
      </w:r>
      <w:r w:rsidR="000F2A66">
        <w:t xml:space="preserve">n its recommendations, the report focuses on mainstreaming - </w:t>
      </w:r>
      <w:r w:rsidR="00661867">
        <w:t>focusing public policies to concrete problems instead of the general ‘Roma integration’. The report also acknowledges the relatively strong legislation against discrimination as well as the Commission for Protection Against Discrimination</w:t>
      </w:r>
      <w:r>
        <w:t xml:space="preserve"> </w:t>
      </w:r>
      <w:r w:rsidRPr="001B4559">
        <w:rPr>
          <w:i/>
          <w:iCs/>
        </w:rPr>
        <w:t>(</w:t>
      </w:r>
      <w:r w:rsidRPr="001B4559">
        <w:rPr>
          <w:i/>
          <w:iCs/>
          <w:lang w:val="bg-BG"/>
        </w:rPr>
        <w:t>Комисия за защита от дискриминация</w:t>
      </w:r>
      <w:r w:rsidRPr="001B4559">
        <w:rPr>
          <w:i/>
          <w:iCs/>
        </w:rPr>
        <w:t>)</w:t>
      </w:r>
      <w:r w:rsidR="00661867">
        <w:t>, although the latter is criticised for shying away from bigger cases</w:t>
      </w:r>
      <w:r w:rsidR="001E04CE">
        <w:t>, like demolition of Roma houses and discrimination by police</w:t>
      </w:r>
      <w:r w:rsidR="00661867">
        <w:t>.</w:t>
      </w:r>
      <w:r w:rsidR="003A30A7">
        <w:rPr>
          <w:lang w:val="bg-BG"/>
        </w:rPr>
        <w:t xml:space="preserve"> </w:t>
      </w:r>
      <w:r w:rsidR="003A30A7">
        <w:rPr>
          <w:lang w:val="en-US"/>
        </w:rPr>
        <w:t xml:space="preserve">The latest report by the Bulgarian Helsinki Committee </w:t>
      </w:r>
      <w:r w:rsidR="003A30A7" w:rsidRPr="0016577F">
        <w:rPr>
          <w:i/>
          <w:lang w:val="en-US"/>
        </w:rPr>
        <w:t>(</w:t>
      </w:r>
      <w:r w:rsidR="003A30A7" w:rsidRPr="0016577F">
        <w:rPr>
          <w:i/>
          <w:lang w:val="bg-BG"/>
        </w:rPr>
        <w:t>Български хелзинкски комитет</w:t>
      </w:r>
      <w:r w:rsidR="003A30A7" w:rsidRPr="0016577F">
        <w:rPr>
          <w:i/>
          <w:lang w:val="en-US"/>
        </w:rPr>
        <w:t>)</w:t>
      </w:r>
      <w:r w:rsidR="003A30A7">
        <w:rPr>
          <w:i/>
          <w:lang w:val="bg-BG"/>
        </w:rPr>
        <w:t xml:space="preserve"> </w:t>
      </w:r>
      <w:r w:rsidR="003A30A7">
        <w:rPr>
          <w:lang w:val="en-US"/>
        </w:rPr>
        <w:t>on human rights in Bulgaria in 2018</w:t>
      </w:r>
      <w:r w:rsidR="00661867" w:rsidRPr="003A30A7">
        <w:rPr>
          <w:rStyle w:val="FootnoteReference"/>
          <w:sz w:val="24"/>
          <w:szCs w:val="24"/>
          <w:lang w:val="bg-BG"/>
        </w:rPr>
        <w:footnoteReference w:id="104"/>
      </w:r>
      <w:r w:rsidR="00661867">
        <w:rPr>
          <w:b/>
          <w:lang w:val="en-US"/>
        </w:rPr>
        <w:t xml:space="preserve"> </w:t>
      </w:r>
      <w:r w:rsidR="00661867">
        <w:rPr>
          <w:lang w:val="en-US"/>
        </w:rPr>
        <w:t xml:space="preserve">observes the increased anti-Roma discourse undertaken by the ruling political parties. The report also refers to the </w:t>
      </w:r>
      <w:r w:rsidR="001D1165">
        <w:rPr>
          <w:lang w:val="en-US"/>
        </w:rPr>
        <w:t xml:space="preserve">2018 </w:t>
      </w:r>
      <w:r w:rsidR="00661867">
        <w:rPr>
          <w:lang w:val="en-US"/>
        </w:rPr>
        <w:t>recommendations made by the UN Human Rights Council</w:t>
      </w:r>
      <w:r w:rsidR="001D1165">
        <w:rPr>
          <w:lang w:val="en-US"/>
        </w:rPr>
        <w:t xml:space="preserve"> </w:t>
      </w:r>
      <w:r w:rsidR="009F6934">
        <w:rPr>
          <w:lang w:val="en-US"/>
        </w:rPr>
        <w:t>on</w:t>
      </w:r>
      <w:r w:rsidR="00661867">
        <w:rPr>
          <w:lang w:val="en-US"/>
        </w:rPr>
        <w:t xml:space="preserve"> </w:t>
      </w:r>
      <w:r w:rsidR="009F6934">
        <w:rPr>
          <w:lang w:val="en-US"/>
        </w:rPr>
        <w:t>amendments</w:t>
      </w:r>
      <w:r w:rsidR="00661867">
        <w:rPr>
          <w:lang w:val="en-US"/>
        </w:rPr>
        <w:t xml:space="preserve"> in </w:t>
      </w:r>
      <w:r w:rsidR="003A30A7">
        <w:rPr>
          <w:lang w:val="en-US"/>
        </w:rPr>
        <w:t>criminal legislation</w:t>
      </w:r>
      <w:r w:rsidR="00661867">
        <w:rPr>
          <w:lang w:val="en-US"/>
        </w:rPr>
        <w:t xml:space="preserve"> to reflect more crimes of hatred against, amongst others, Roma and ensure the better protection of the victims</w:t>
      </w:r>
      <w:r w:rsidR="009F6934">
        <w:rPr>
          <w:lang w:val="en-US"/>
        </w:rPr>
        <w:t>, strengthening</w:t>
      </w:r>
      <w:r w:rsidR="00661867">
        <w:rPr>
          <w:lang w:val="en-US"/>
        </w:rPr>
        <w:t xml:space="preserve"> the fight against discrimination of Roma in housing, education, healthcare and labo</w:t>
      </w:r>
      <w:r w:rsidR="009F6934">
        <w:rPr>
          <w:lang w:val="en-US"/>
        </w:rPr>
        <w:t>u</w:t>
      </w:r>
      <w:r w:rsidR="00661867">
        <w:rPr>
          <w:lang w:val="en-US"/>
        </w:rPr>
        <w:t xml:space="preserve">r, as well </w:t>
      </w:r>
      <w:r w:rsidR="009F6934">
        <w:rPr>
          <w:lang w:val="en-US"/>
        </w:rPr>
        <w:t>as the</w:t>
      </w:r>
      <w:r w:rsidR="00661867">
        <w:rPr>
          <w:lang w:val="en-US"/>
        </w:rPr>
        <w:t xml:space="preserve"> concern over the behavio</w:t>
      </w:r>
      <w:r w:rsidR="003A30A7">
        <w:rPr>
          <w:lang w:val="en-US"/>
        </w:rPr>
        <w:t>u</w:t>
      </w:r>
      <w:r w:rsidR="00661867">
        <w:rPr>
          <w:lang w:val="en-US"/>
        </w:rPr>
        <w:t>r of the police. BHC’s report tackles the issue of forced evictions of Roma and the resulting violation of their right</w:t>
      </w:r>
      <w:r w:rsidR="00121E1C">
        <w:rPr>
          <w:lang w:val="en-US"/>
        </w:rPr>
        <w:t xml:space="preserve">s </w:t>
      </w:r>
      <w:r w:rsidR="00661867">
        <w:rPr>
          <w:lang w:val="en-US"/>
        </w:rPr>
        <w:t xml:space="preserve">to personal and family life, housing and correspondence. </w:t>
      </w:r>
      <w:r w:rsidR="00CE44A1">
        <w:rPr>
          <w:lang w:val="en-US"/>
        </w:rPr>
        <w:t>Based on th</w:t>
      </w:r>
      <w:r w:rsidR="00840AE4">
        <w:rPr>
          <w:lang w:val="en-US"/>
        </w:rPr>
        <w:t>e above two reports and others, in terms of vulnerabilities of Roma, NGOs focus both on violations of their rights</w:t>
      </w:r>
      <w:r w:rsidR="00173B36">
        <w:rPr>
          <w:lang w:val="en-US"/>
        </w:rPr>
        <w:t xml:space="preserve">, </w:t>
      </w:r>
      <w:r w:rsidR="00840AE4">
        <w:rPr>
          <w:lang w:val="en-US"/>
        </w:rPr>
        <w:t>and/or discrimination</w:t>
      </w:r>
      <w:r w:rsidR="00F06AC6">
        <w:rPr>
          <w:lang w:val="en-US"/>
        </w:rPr>
        <w:t xml:space="preserve"> and stereotyping</w:t>
      </w:r>
      <w:r w:rsidR="00840AE4">
        <w:rPr>
          <w:lang w:val="en-US"/>
        </w:rPr>
        <w:t xml:space="preserve">, practical access </w:t>
      </w:r>
      <w:r w:rsidR="00F06AC6">
        <w:rPr>
          <w:lang w:val="en-US"/>
        </w:rPr>
        <w:t xml:space="preserve">to education, healthcare and housing, including notorious cases of evictions. </w:t>
      </w:r>
    </w:p>
    <w:p w14:paraId="0746FE31" w14:textId="77777777" w:rsidR="003A30A7" w:rsidRPr="00F772F7" w:rsidRDefault="003A30A7" w:rsidP="0032208C">
      <w:pPr>
        <w:pStyle w:val="FRABodyText"/>
      </w:pPr>
    </w:p>
    <w:p w14:paraId="7F29BF86" w14:textId="72CF9B91" w:rsidR="00661867" w:rsidRDefault="003A30A7" w:rsidP="0032208C">
      <w:pPr>
        <w:pStyle w:val="FRABodyText"/>
      </w:pPr>
      <w:r>
        <w:t xml:space="preserve">Regarding resource allocation, </w:t>
      </w:r>
      <w:r w:rsidR="000338C2">
        <w:t>f</w:t>
      </w:r>
      <w:r w:rsidR="00E62398" w:rsidRPr="00E62398">
        <w:t>or 2014-2020 Bulgaria will be allocated a total of €7.2 billion in EU funds (current prices), out of which €5.1 billion will come from the European Social Fund (ESF) and the European Regional Development Fund (ERDF). At least 28.7% of this amount will be spent on the ESF, with at least 20% of that going towards promoting social inclusion and combating poverty. The latter amount could also benefit Roma-related measures.</w:t>
      </w:r>
      <w:r w:rsidR="00661867">
        <w:rPr>
          <w:rStyle w:val="FootnoteReference"/>
          <w:sz w:val="24"/>
          <w:szCs w:val="24"/>
        </w:rPr>
        <w:footnoteReference w:id="105"/>
      </w:r>
      <w:r w:rsidR="00E62398">
        <w:t xml:space="preserve"> CHF</w:t>
      </w:r>
      <w:r w:rsidR="00661867">
        <w:t>8,088,500</w:t>
      </w:r>
      <w:r w:rsidR="00E62398">
        <w:t xml:space="preserve"> </w:t>
      </w:r>
      <w:r w:rsidR="00661867">
        <w:t xml:space="preserve">have been allocated </w:t>
      </w:r>
      <w:r w:rsidR="009F6934">
        <w:t xml:space="preserve">for the period of 2013-2019 </w:t>
      </w:r>
      <w:r w:rsidR="00661867">
        <w:t>for the ‘ZOV’ Program</w:t>
      </w:r>
      <w:r w:rsidR="00E62398">
        <w:t>me</w:t>
      </w:r>
      <w:r w:rsidR="00661867">
        <w:t xml:space="preserve">, </w:t>
      </w:r>
      <w:r w:rsidR="009F6934">
        <w:t>which</w:t>
      </w:r>
      <w:r w:rsidR="00661867">
        <w:t xml:space="preserve"> aims at decreasing the number of kindergarten, school and pre-school drop-outs; reproductive healthcare for the Roma community; family planning; organising cultural events helping Roma integration and others.</w:t>
      </w:r>
      <w:r w:rsidR="00661867">
        <w:rPr>
          <w:rStyle w:val="FootnoteReference"/>
          <w:sz w:val="24"/>
          <w:szCs w:val="24"/>
        </w:rPr>
        <w:footnoteReference w:id="106"/>
      </w:r>
    </w:p>
    <w:p w14:paraId="7413E9EA" w14:textId="77777777" w:rsidR="00F06AC6" w:rsidRDefault="00F06AC6" w:rsidP="0032208C">
      <w:pPr>
        <w:pStyle w:val="FRABodyText"/>
      </w:pPr>
    </w:p>
    <w:p w14:paraId="7FA58092" w14:textId="6A43D3F4" w:rsidR="00661867" w:rsidRDefault="000338C2" w:rsidP="0032208C">
      <w:pPr>
        <w:pStyle w:val="FRABodyText"/>
      </w:pPr>
      <w:r w:rsidRPr="00E62398">
        <w:t>€</w:t>
      </w:r>
      <w:r w:rsidR="00F06AC6" w:rsidRPr="00F06AC6">
        <w:t xml:space="preserve">35 million has been allocated </w:t>
      </w:r>
      <w:r w:rsidR="00F06AC6">
        <w:t xml:space="preserve">under the Memoranda of Understanding </w:t>
      </w:r>
      <w:r w:rsidR="00F06AC6" w:rsidRPr="00F06AC6">
        <w:t>Iceland, Liechtenstein and Norway have signed with Bulgaria on a number of new programmes under the EEA and Norway Grants 2014-2021</w:t>
      </w:r>
      <w:r>
        <w:t xml:space="preserve"> </w:t>
      </w:r>
      <w:r w:rsidR="00F06AC6" w:rsidRPr="00F06AC6">
        <w:t xml:space="preserve">for job creation and to improve education and health care in poor areas. </w:t>
      </w:r>
      <w:r w:rsidR="00243CFA">
        <w:t>A</w:t>
      </w:r>
      <w:r w:rsidR="00F06AC6" w:rsidRPr="00F06AC6">
        <w:t>t least 10% of the funding for programmes in the justice and cultural sectors is earmarked for projects designed to address the needs of the Roma</w:t>
      </w:r>
      <w:r w:rsidR="00F06AC6">
        <w:t>.</w:t>
      </w:r>
      <w:r w:rsidR="00661867">
        <w:rPr>
          <w:rStyle w:val="FootnoteReference"/>
          <w:sz w:val="24"/>
          <w:szCs w:val="24"/>
        </w:rPr>
        <w:footnoteReference w:id="107"/>
      </w:r>
      <w:r w:rsidR="00661867">
        <w:t xml:space="preserve"> </w:t>
      </w:r>
    </w:p>
    <w:p w14:paraId="23DFF37C" w14:textId="77777777" w:rsidR="00E62398" w:rsidRDefault="00E62398" w:rsidP="0032208C">
      <w:pPr>
        <w:pStyle w:val="FRABodyText"/>
      </w:pPr>
    </w:p>
    <w:p w14:paraId="6E34C44B" w14:textId="44BEC05A" w:rsidR="00661867" w:rsidRDefault="000338C2" w:rsidP="0032208C">
      <w:pPr>
        <w:pStyle w:val="FRABodyText"/>
        <w:rPr>
          <w:lang w:val="en-US"/>
        </w:rPr>
      </w:pPr>
      <w:r>
        <w:rPr>
          <w:lang w:val="en-US"/>
        </w:rPr>
        <w:lastRenderedPageBreak/>
        <w:t xml:space="preserve">The Human Resources Development </w:t>
      </w:r>
      <w:r w:rsidR="00853AAC" w:rsidRPr="00516B3B">
        <w:rPr>
          <w:lang w:val="en-US"/>
        </w:rPr>
        <w:t>Operational program</w:t>
      </w:r>
      <w:r w:rsidR="00516B3B" w:rsidRPr="00516B3B">
        <w:rPr>
          <w:lang w:val="en-US"/>
        </w:rPr>
        <w:t>me</w:t>
      </w:r>
      <w:r w:rsidR="00853AAC" w:rsidRPr="00516B3B">
        <w:rPr>
          <w:lang w:val="en-US"/>
        </w:rPr>
        <w:t xml:space="preserve"> 2014-2020</w:t>
      </w:r>
      <w:r w:rsidR="00516B3B" w:rsidRPr="00516B3B">
        <w:rPr>
          <w:lang w:val="en-US"/>
        </w:rPr>
        <w:t xml:space="preserve"> </w:t>
      </w:r>
      <w:r w:rsidR="00516B3B" w:rsidRPr="000338C2">
        <w:rPr>
          <w:i/>
          <w:lang w:val="en-US"/>
        </w:rPr>
        <w:t>(</w:t>
      </w:r>
      <w:r w:rsidRPr="000338C2">
        <w:rPr>
          <w:i/>
          <w:lang w:val="bg-BG"/>
        </w:rPr>
        <w:t>Оперативна програма „Развитие на човешките ресурси“ 2014-2020</w:t>
      </w:r>
      <w:r w:rsidR="00516B3B" w:rsidRPr="000338C2">
        <w:rPr>
          <w:i/>
          <w:lang w:val="en-US"/>
        </w:rPr>
        <w:t>)</w:t>
      </w:r>
      <w:r w:rsidR="00853AAC" w:rsidRPr="00516B3B">
        <w:rPr>
          <w:lang w:val="en-US"/>
        </w:rPr>
        <w:t xml:space="preserve"> of the Ministry of Labor and Social Policy</w:t>
      </w:r>
      <w:r>
        <w:rPr>
          <w:lang w:val="bg-BG"/>
        </w:rPr>
        <w:t xml:space="preserve"> </w:t>
      </w:r>
      <w:r w:rsidRPr="000338C2">
        <w:rPr>
          <w:i/>
          <w:lang w:val="en-US"/>
        </w:rPr>
        <w:t>(</w:t>
      </w:r>
      <w:r w:rsidRPr="000338C2">
        <w:rPr>
          <w:i/>
          <w:lang w:val="bg-BG"/>
        </w:rPr>
        <w:t>Министерство на труда и социалната политика</w:t>
      </w:r>
      <w:r w:rsidRPr="000338C2">
        <w:rPr>
          <w:i/>
          <w:lang w:val="en-US"/>
        </w:rPr>
        <w:t>)</w:t>
      </w:r>
      <w:r w:rsidR="00853AAC">
        <w:rPr>
          <w:b/>
          <w:lang w:val="en-US"/>
        </w:rPr>
        <w:t xml:space="preserve"> </w:t>
      </w:r>
      <w:r w:rsidRPr="000338C2">
        <w:rPr>
          <w:lang w:val="en-US"/>
        </w:rPr>
        <w:t>f</w:t>
      </w:r>
      <w:r w:rsidR="00853AAC">
        <w:rPr>
          <w:lang w:val="en-US"/>
        </w:rPr>
        <w:t xml:space="preserve">ocuses, among other things, on decreasing the high poverty risk and the risk of social exclusion, as well as ensuring a higher </w:t>
      </w:r>
      <w:r>
        <w:rPr>
          <w:lang w:val="en-US"/>
        </w:rPr>
        <w:t>quality</w:t>
      </w:r>
      <w:r w:rsidR="00853AAC">
        <w:rPr>
          <w:lang w:val="en-US"/>
        </w:rPr>
        <w:t xml:space="preserve"> of living of those that are most marginali</w:t>
      </w:r>
      <w:r>
        <w:rPr>
          <w:lang w:val="en-US"/>
        </w:rPr>
        <w:t>s</w:t>
      </w:r>
      <w:r w:rsidR="00853AAC">
        <w:rPr>
          <w:lang w:val="en-US"/>
        </w:rPr>
        <w:t>ed, including Roma.</w:t>
      </w:r>
      <w:r w:rsidR="00853AAC">
        <w:rPr>
          <w:rStyle w:val="FootnoteReference"/>
          <w:sz w:val="24"/>
          <w:szCs w:val="24"/>
          <w:lang w:val="en-US"/>
        </w:rPr>
        <w:footnoteReference w:id="108"/>
      </w:r>
      <w:r w:rsidR="009F6934">
        <w:rPr>
          <w:lang w:val="en-US"/>
        </w:rPr>
        <w:t xml:space="preserve"> Funds are also received on project basis both by institutions and NGOs.</w:t>
      </w:r>
      <w:r w:rsidR="00082062">
        <w:rPr>
          <w:rStyle w:val="FootnoteReference"/>
          <w:sz w:val="24"/>
          <w:szCs w:val="24"/>
        </w:rPr>
        <w:footnoteReference w:id="109"/>
      </w:r>
    </w:p>
    <w:p w14:paraId="2A139CB4" w14:textId="458E38DA" w:rsidR="009F6934" w:rsidRPr="00A54F72" w:rsidRDefault="009F6934" w:rsidP="0032208C">
      <w:pPr>
        <w:pStyle w:val="FRABodyText"/>
      </w:pPr>
    </w:p>
    <w:p w14:paraId="34F7233B" w14:textId="55D433E0" w:rsidR="00F106E0" w:rsidRPr="000375B6" w:rsidRDefault="00F106E0" w:rsidP="008E576F">
      <w:pPr>
        <w:pStyle w:val="ListParagraph"/>
        <w:numPr>
          <w:ilvl w:val="0"/>
          <w:numId w:val="6"/>
        </w:numPr>
        <w:spacing w:line="276" w:lineRule="auto"/>
        <w:rPr>
          <w:b/>
        </w:rPr>
      </w:pPr>
      <w:r w:rsidRPr="000375B6">
        <w:rPr>
          <w:b/>
        </w:rPr>
        <w:t>Children at Risk</w:t>
      </w:r>
    </w:p>
    <w:p w14:paraId="326EBC45" w14:textId="05F4EB74" w:rsidR="00B67E9B" w:rsidRDefault="00200F64" w:rsidP="0032208C">
      <w:pPr>
        <w:pStyle w:val="FRABodyText"/>
      </w:pPr>
      <w:r>
        <w:t>C</w:t>
      </w:r>
      <w:r w:rsidR="00E76CD9">
        <w:t xml:space="preserve">hildren at risk are dealt with in various national strategic documents, and NGO reports, </w:t>
      </w:r>
      <w:r w:rsidR="001D74D7">
        <w:t>tackling one or several of the groups under the term</w:t>
      </w:r>
      <w:r w:rsidR="009C6711">
        <w:t>, or various risks before children,</w:t>
      </w:r>
      <w:r w:rsidR="00B67E9B">
        <w:rPr>
          <w:lang w:val="bg-BG"/>
        </w:rPr>
        <w:t xml:space="preserve"> </w:t>
      </w:r>
      <w:r w:rsidR="00B67E9B">
        <w:rPr>
          <w:lang w:val="en-US"/>
        </w:rPr>
        <w:t>or children’s rights in general</w:t>
      </w:r>
      <w:r w:rsidR="001D74D7">
        <w:t>.</w:t>
      </w:r>
    </w:p>
    <w:p w14:paraId="052F829C" w14:textId="77777777" w:rsidR="007F659F" w:rsidRDefault="007F659F" w:rsidP="0032208C">
      <w:pPr>
        <w:pStyle w:val="FRABodyText"/>
        <w:rPr>
          <w:lang w:val="en-US"/>
        </w:rPr>
      </w:pPr>
    </w:p>
    <w:p w14:paraId="5F8E9E5B" w14:textId="25017595" w:rsidR="000E535A" w:rsidRPr="000E535A" w:rsidRDefault="00B67E9B" w:rsidP="0032208C">
      <w:pPr>
        <w:pStyle w:val="FRABodyText"/>
        <w:rPr>
          <w:lang w:val="bg-BG"/>
        </w:rPr>
      </w:pPr>
      <w:r>
        <w:rPr>
          <w:lang w:val="en-US"/>
        </w:rPr>
        <w:t>The National Strategy for the Child (2008-2018) (</w:t>
      </w:r>
      <w:r>
        <w:rPr>
          <w:i/>
          <w:lang w:val="bg-BG"/>
        </w:rPr>
        <w:t>Национална стратегия за детето 2008-2018 г.</w:t>
      </w:r>
      <w:r>
        <w:rPr>
          <w:lang w:val="bg-BG"/>
        </w:rPr>
        <w:t>)</w:t>
      </w:r>
      <w:r>
        <w:rPr>
          <w:rStyle w:val="FootnoteReference"/>
          <w:lang w:val="bg-BG"/>
        </w:rPr>
        <w:footnoteReference w:id="110"/>
      </w:r>
      <w:r>
        <w:rPr>
          <w:lang w:val="en-US"/>
        </w:rPr>
        <w:t xml:space="preserve"> sets itself in the context of the ‘serious demographic crisis’ fallen upon Bulgaria</w:t>
      </w:r>
      <w:r>
        <w:rPr>
          <w:lang w:val="bg-BG"/>
        </w:rPr>
        <w:t xml:space="preserve"> </w:t>
      </w:r>
      <w:r>
        <w:rPr>
          <w:lang w:val="en-US"/>
        </w:rPr>
        <w:t xml:space="preserve">and child poverty, high child mortality rate compared to other European countries and the increasingly weaker literacy amongst the younger population, combined with increase in school dropout. </w:t>
      </w:r>
      <w:r w:rsidR="000E535A">
        <w:rPr>
          <w:lang w:val="en-US"/>
        </w:rPr>
        <w:t xml:space="preserve">As mentioned above, the document elaborates upon a number of groups of children it considers at risk. The strategy is operationalised in annual national </w:t>
      </w:r>
      <w:r w:rsidR="0077131A">
        <w:rPr>
          <w:lang w:val="en-US"/>
        </w:rPr>
        <w:t>and respective municipal programmes</w:t>
      </w:r>
      <w:r w:rsidR="000E535A">
        <w:rPr>
          <w:lang w:val="en-US"/>
        </w:rPr>
        <w:t>.</w:t>
      </w:r>
      <w:r w:rsidR="0077131A">
        <w:rPr>
          <w:rStyle w:val="FootnoteReference"/>
          <w:lang w:val="en-US"/>
        </w:rPr>
        <w:footnoteReference w:id="111"/>
      </w:r>
      <w:r w:rsidR="000E535A">
        <w:rPr>
          <w:lang w:val="en-US"/>
        </w:rPr>
        <w:t xml:space="preserve"> </w:t>
      </w:r>
    </w:p>
    <w:p w14:paraId="156C0804" w14:textId="77777777" w:rsidR="000E535A" w:rsidRDefault="000E535A" w:rsidP="0032208C">
      <w:pPr>
        <w:pStyle w:val="FRABodyText"/>
        <w:rPr>
          <w:lang w:val="en-US"/>
        </w:rPr>
      </w:pPr>
    </w:p>
    <w:p w14:paraId="00F56126" w14:textId="7E2D3CDA" w:rsidR="00C74597" w:rsidRDefault="00B67E9B" w:rsidP="0032208C">
      <w:pPr>
        <w:pStyle w:val="FRABodyText"/>
      </w:pPr>
      <w:r>
        <w:rPr>
          <w:lang w:val="en-US"/>
        </w:rPr>
        <w:t>A new National Strategy for the Child</w:t>
      </w:r>
      <w:r w:rsidR="000E535A">
        <w:rPr>
          <w:lang w:val="en-US"/>
        </w:rPr>
        <w:t xml:space="preserve"> for 2019-2030</w:t>
      </w:r>
      <w:r w:rsidR="000E535A">
        <w:rPr>
          <w:rStyle w:val="FootnoteReference"/>
          <w:lang w:val="en-US"/>
        </w:rPr>
        <w:footnoteReference w:id="112"/>
      </w:r>
      <w:r w:rsidR="000E535A">
        <w:rPr>
          <w:lang w:val="en-US"/>
        </w:rPr>
        <w:t xml:space="preserve"> was put out for public consultation but caused a heated public debate on, generally, the powers of social authorities interfering with the rights of families to raise and educate their children and was subsequently put on hold. </w:t>
      </w:r>
      <w:r w:rsidR="0082566A">
        <w:rPr>
          <w:lang w:val="en-US"/>
        </w:rPr>
        <w:t>It elaborates on a number of risks</w:t>
      </w:r>
      <w:r w:rsidR="00057D2E">
        <w:rPr>
          <w:lang w:val="en-US"/>
        </w:rPr>
        <w:t>, divided by stage of children’s development</w:t>
      </w:r>
      <w:r w:rsidR="0082566A">
        <w:rPr>
          <w:lang w:val="en-US"/>
        </w:rPr>
        <w:t xml:space="preserve"> – traditional, such as poverty, social exclusion, </w:t>
      </w:r>
      <w:r w:rsidR="00454830">
        <w:rPr>
          <w:lang w:val="en-US"/>
        </w:rPr>
        <w:t>difficulties in school adaptation</w:t>
      </w:r>
      <w:r w:rsidR="009645F5">
        <w:rPr>
          <w:lang w:val="en-US"/>
        </w:rPr>
        <w:t>, school segregation</w:t>
      </w:r>
      <w:r w:rsidR="00454830">
        <w:rPr>
          <w:lang w:val="en-US"/>
        </w:rPr>
        <w:t xml:space="preserve"> and various dependencies, </w:t>
      </w:r>
      <w:r w:rsidR="0082566A">
        <w:rPr>
          <w:lang w:val="en-US"/>
        </w:rPr>
        <w:t>but also newer ones such as the increasing number of births by girls under 20 years of age, which brings a number of health risks for the children’s development</w:t>
      </w:r>
      <w:r w:rsidR="00200F64">
        <w:rPr>
          <w:lang w:val="en-US"/>
        </w:rPr>
        <w:t xml:space="preserve"> and</w:t>
      </w:r>
      <w:r w:rsidR="0082566A">
        <w:rPr>
          <w:lang w:val="en-US"/>
        </w:rPr>
        <w:t xml:space="preserve"> </w:t>
      </w:r>
      <w:r w:rsidR="00200F64">
        <w:rPr>
          <w:lang w:val="en-US"/>
        </w:rPr>
        <w:t xml:space="preserve">possible </w:t>
      </w:r>
      <w:r w:rsidR="00454830">
        <w:rPr>
          <w:lang w:val="en-US"/>
        </w:rPr>
        <w:t>abandonment of children at birth</w:t>
      </w:r>
      <w:r w:rsidR="00200F64">
        <w:rPr>
          <w:lang w:val="en-US"/>
        </w:rPr>
        <w:t>.</w:t>
      </w:r>
      <w:r w:rsidR="00454830">
        <w:rPr>
          <w:lang w:val="en-US"/>
        </w:rPr>
        <w:t xml:space="preserve"> </w:t>
      </w:r>
      <w:r w:rsidR="0082566A">
        <w:rPr>
          <w:lang w:val="en-US"/>
        </w:rPr>
        <w:t xml:space="preserve"> </w:t>
      </w:r>
      <w:r w:rsidR="000E535A">
        <w:rPr>
          <w:lang w:val="en-US"/>
        </w:rPr>
        <w:t xml:space="preserve"> </w:t>
      </w:r>
    </w:p>
    <w:p w14:paraId="0D14A4DA" w14:textId="77777777" w:rsidR="00B67E9B" w:rsidRDefault="00B67E9B" w:rsidP="0032208C">
      <w:pPr>
        <w:pStyle w:val="FRABodyText"/>
      </w:pPr>
    </w:p>
    <w:p w14:paraId="6297592A" w14:textId="722CCBC4" w:rsidR="00AF3369" w:rsidRPr="001B065E" w:rsidRDefault="00AF3369" w:rsidP="0032208C">
      <w:pPr>
        <w:pStyle w:val="FRABodyText"/>
        <w:rPr>
          <w:lang w:val="en-US"/>
        </w:rPr>
      </w:pPr>
      <w:r>
        <w:lastRenderedPageBreak/>
        <w:t xml:space="preserve">The </w:t>
      </w:r>
      <w:r w:rsidR="001D74D7">
        <w:t>national programme against violence and abuse of children</w:t>
      </w:r>
      <w:r>
        <w:rPr>
          <w:rStyle w:val="FootnoteReference"/>
          <w:rFonts w:eastAsiaTheme="minorHAnsi"/>
          <w:lang w:val="en-US"/>
        </w:rPr>
        <w:footnoteReference w:id="113"/>
      </w:r>
      <w:r>
        <w:rPr>
          <w:lang w:val="en-US"/>
        </w:rPr>
        <w:t xml:space="preserve"> </w:t>
      </w:r>
      <w:r w:rsidR="00D11693">
        <w:rPr>
          <w:lang w:val="en-US"/>
        </w:rPr>
        <w:t xml:space="preserve">elaborates on the significant percentage of violence </w:t>
      </w:r>
      <w:r w:rsidR="009A5A14">
        <w:rPr>
          <w:lang w:val="en-US"/>
        </w:rPr>
        <w:t>committed within children victims’ families</w:t>
      </w:r>
      <w:r w:rsidR="002E247A">
        <w:rPr>
          <w:lang w:val="en-US"/>
        </w:rPr>
        <w:t xml:space="preserve"> and </w:t>
      </w:r>
      <w:r>
        <w:rPr>
          <w:lang w:val="en-US"/>
        </w:rPr>
        <w:t xml:space="preserve">points out </w:t>
      </w:r>
      <w:r w:rsidR="00F225FB">
        <w:rPr>
          <w:lang w:val="en-US"/>
        </w:rPr>
        <w:t xml:space="preserve">to </w:t>
      </w:r>
      <w:r>
        <w:rPr>
          <w:lang w:val="en-US"/>
        </w:rPr>
        <w:t>several challenges</w:t>
      </w:r>
      <w:r w:rsidR="002E247A">
        <w:rPr>
          <w:lang w:val="en-US"/>
        </w:rPr>
        <w:t>:</w:t>
      </w:r>
      <w:r>
        <w:rPr>
          <w:lang w:val="en-US"/>
        </w:rPr>
        <w:t xml:space="preserve"> improving the coordination and multi-disciplinary approach of the responsible institutions, guaranteeing the dignity and the physical and psychological integrity of children as right-holders, instead of victims. </w:t>
      </w:r>
      <w:r w:rsidR="000D4ECA">
        <w:rPr>
          <w:lang w:val="en-US"/>
        </w:rPr>
        <w:t>It</w:t>
      </w:r>
      <w:r>
        <w:rPr>
          <w:lang w:val="en-US"/>
        </w:rPr>
        <w:t xml:space="preserve"> is based </w:t>
      </w:r>
      <w:r w:rsidR="00A92250">
        <w:rPr>
          <w:lang w:val="en-US"/>
        </w:rPr>
        <w:t xml:space="preserve">on </w:t>
      </w:r>
      <w:r>
        <w:rPr>
          <w:lang w:val="en-US"/>
        </w:rPr>
        <w:t xml:space="preserve">the best interest of the child, </w:t>
      </w:r>
      <w:r w:rsidR="00A92250">
        <w:rPr>
          <w:lang w:val="en-US"/>
        </w:rPr>
        <w:t>his/her right</w:t>
      </w:r>
      <w:r>
        <w:rPr>
          <w:lang w:val="en-US"/>
        </w:rPr>
        <w:t xml:space="preserve"> to expression, to be heard and respected, the importance of families and guaranteeing fundamental rights. Additionally, the Programme </w:t>
      </w:r>
      <w:r w:rsidR="00A92250">
        <w:rPr>
          <w:lang w:val="en-US"/>
        </w:rPr>
        <w:t xml:space="preserve">foresees </w:t>
      </w:r>
      <w:r>
        <w:rPr>
          <w:lang w:val="en-US"/>
        </w:rPr>
        <w:t xml:space="preserve">the elaboration of an effective system for the prevention of domestic violence affecting children, the prevention of sexual violence, abuse and exploitation, </w:t>
      </w:r>
      <w:r w:rsidR="008F0B7D">
        <w:rPr>
          <w:lang w:val="en-US"/>
        </w:rPr>
        <w:t>and</w:t>
      </w:r>
      <w:r>
        <w:rPr>
          <w:lang w:val="en-US"/>
        </w:rPr>
        <w:t xml:space="preserve"> </w:t>
      </w:r>
      <w:r w:rsidR="00F225FB">
        <w:rPr>
          <w:lang w:val="en-US"/>
        </w:rPr>
        <w:t>other</w:t>
      </w:r>
      <w:r>
        <w:rPr>
          <w:lang w:val="en-US"/>
        </w:rPr>
        <w:t xml:space="preserve"> forms of violence. In addition, </w:t>
      </w:r>
      <w:r w:rsidR="006A2638">
        <w:rPr>
          <w:lang w:val="en-US"/>
        </w:rPr>
        <w:t xml:space="preserve">the programme aims at </w:t>
      </w:r>
      <w:r>
        <w:rPr>
          <w:lang w:val="en-US"/>
        </w:rPr>
        <w:t xml:space="preserve">the prevention of violence against children in the educational system, the creation and development of various services for prevention, as well as for working with children, victims or perpetrators of violence. </w:t>
      </w:r>
      <w:r w:rsidR="006A2638">
        <w:rPr>
          <w:lang w:val="en-US"/>
        </w:rPr>
        <w:t>The programme also aims at increasing</w:t>
      </w:r>
      <w:r>
        <w:rPr>
          <w:lang w:val="en-US"/>
        </w:rPr>
        <w:t xml:space="preserve"> the capacity of professionals working with children, as well as society’s sensitivity</w:t>
      </w:r>
      <w:r w:rsidR="004B72B5">
        <w:rPr>
          <w:lang w:val="en-US"/>
        </w:rPr>
        <w:t xml:space="preserve"> to</w:t>
      </w:r>
      <w:r>
        <w:rPr>
          <w:lang w:val="en-US"/>
        </w:rPr>
        <w:t xml:space="preserve"> issues related to child abuse.</w:t>
      </w:r>
      <w:r w:rsidR="00072BEF">
        <w:rPr>
          <w:lang w:val="en-US"/>
        </w:rPr>
        <w:t xml:space="preserve"> The programme is operationalised in bi-annual action plans.</w:t>
      </w:r>
    </w:p>
    <w:p w14:paraId="0AB25352" w14:textId="43132486" w:rsidR="007F659F" w:rsidRPr="003D3CC7" w:rsidRDefault="00873BD7" w:rsidP="0032208C">
      <w:r>
        <w:t xml:space="preserve">Regarding specific cases of abuse and violence, </w:t>
      </w:r>
      <w:r w:rsidR="000D51BB">
        <w:t>children victims of trafficking have a specific place in both the national referral mechanism</w:t>
      </w:r>
      <w:r w:rsidR="000D51BB">
        <w:rPr>
          <w:rStyle w:val="FootnoteReference"/>
        </w:rPr>
        <w:footnoteReference w:id="114"/>
      </w:r>
      <w:r w:rsidR="000D51BB">
        <w:rPr>
          <w:lang w:val="bg-BG"/>
        </w:rPr>
        <w:t xml:space="preserve"> </w:t>
      </w:r>
      <w:r w:rsidR="000D51BB">
        <w:t>and the National Strategy for Combatting Trafficking in Human Beings</w:t>
      </w:r>
      <w:r w:rsidR="000D51BB">
        <w:rPr>
          <w:lang w:val="bg-BG"/>
        </w:rPr>
        <w:t>.</w:t>
      </w:r>
      <w:r w:rsidR="000D51BB">
        <w:rPr>
          <w:rStyle w:val="FootnoteReference"/>
          <w:lang w:val="bg-BG"/>
        </w:rPr>
        <w:footnoteReference w:id="115"/>
      </w:r>
      <w:r w:rsidR="000D51BB">
        <w:t xml:space="preserve"> </w:t>
      </w:r>
      <w:r w:rsidR="003D3CC7">
        <w:t>In addition, there is a s</w:t>
      </w:r>
      <w:r w:rsidR="004B72B5">
        <w:t xml:space="preserve">pecific co-ordination mechanism </w:t>
      </w:r>
      <w:r w:rsidR="003D3CC7">
        <w:t>on children victims of trafficking</w:t>
      </w:r>
      <w:r w:rsidR="003D3CC7">
        <w:rPr>
          <w:rStyle w:val="FootnoteReference"/>
        </w:rPr>
        <w:footnoteReference w:id="116"/>
      </w:r>
      <w:r w:rsidR="003D3CC7">
        <w:rPr>
          <w:lang w:val="bg-BG"/>
        </w:rPr>
        <w:t xml:space="preserve"> </w:t>
      </w:r>
      <w:r w:rsidR="003D3CC7">
        <w:t xml:space="preserve">enlisting specific responsibilities of institutions and NGOs in tackling </w:t>
      </w:r>
      <w:r w:rsidR="004B72B5">
        <w:t xml:space="preserve">such </w:t>
      </w:r>
      <w:r w:rsidR="003D3CC7">
        <w:t xml:space="preserve">transnational cases. </w:t>
      </w:r>
    </w:p>
    <w:p w14:paraId="56BD7FB6" w14:textId="77777777" w:rsidR="00873BD7" w:rsidRDefault="00873BD7" w:rsidP="0032208C">
      <w:pPr>
        <w:pStyle w:val="FRABodyText"/>
        <w:rPr>
          <w:lang w:val="en-US"/>
        </w:rPr>
      </w:pPr>
    </w:p>
    <w:p w14:paraId="11285F6D" w14:textId="347F8F9F" w:rsidR="00AF3369" w:rsidRDefault="0038115B" w:rsidP="0032208C">
      <w:pPr>
        <w:pStyle w:val="FRABodyText"/>
        <w:rPr>
          <w:lang w:val="en-US"/>
        </w:rPr>
      </w:pPr>
      <w:r>
        <w:rPr>
          <w:lang w:val="en-US"/>
        </w:rPr>
        <w:t xml:space="preserve">As children in institutions have been continuously identified as subjects of specific risks, </w:t>
      </w:r>
      <w:r w:rsidR="005A4A37">
        <w:rPr>
          <w:lang w:val="en-US"/>
        </w:rPr>
        <w:t>t</w:t>
      </w:r>
      <w:r w:rsidR="00AF3369">
        <w:rPr>
          <w:lang w:val="en-US"/>
        </w:rPr>
        <w:t xml:space="preserve">he </w:t>
      </w:r>
      <w:r w:rsidR="005A4A37">
        <w:rPr>
          <w:lang w:val="en-US"/>
        </w:rPr>
        <w:t xml:space="preserve">national strategy for </w:t>
      </w:r>
      <w:r w:rsidR="00D83801">
        <w:rPr>
          <w:lang w:val="en-US"/>
        </w:rPr>
        <w:t>deinstitutionalization,</w:t>
      </w:r>
      <w:r w:rsidR="00D83801">
        <w:rPr>
          <w:rStyle w:val="FootnoteReference"/>
          <w:i/>
          <w:lang w:val="bg-BG"/>
        </w:rPr>
        <w:footnoteReference w:id="117"/>
      </w:r>
      <w:r w:rsidR="00D83801" w:rsidRPr="00D83801">
        <w:rPr>
          <w:lang w:val="en-US"/>
        </w:rPr>
        <w:t xml:space="preserve"> </w:t>
      </w:r>
      <w:r w:rsidR="00D83801">
        <w:rPr>
          <w:lang w:val="en-US"/>
        </w:rPr>
        <w:t>i.e. substituting institutional care of children with a family or a similar environment and the prevention of institutionalization,</w:t>
      </w:r>
      <w:r w:rsidR="00AF3369">
        <w:rPr>
          <w:i/>
          <w:lang w:val="en-US"/>
        </w:rPr>
        <w:t xml:space="preserve"> </w:t>
      </w:r>
      <w:r w:rsidR="005A4A37">
        <w:rPr>
          <w:lang w:val="en-US"/>
        </w:rPr>
        <w:t xml:space="preserve">aims at </w:t>
      </w:r>
      <w:r w:rsidR="00AF3369">
        <w:rPr>
          <w:lang w:val="en-US"/>
        </w:rPr>
        <w:t xml:space="preserve">supporting </w:t>
      </w:r>
      <w:r w:rsidR="00AF3369">
        <w:rPr>
          <w:lang w:val="en-US"/>
        </w:rPr>
        <w:lastRenderedPageBreak/>
        <w:t xml:space="preserve">families and creating a better environment for the development of children. </w:t>
      </w:r>
      <w:r w:rsidR="00D83801">
        <w:rPr>
          <w:lang w:val="en-US"/>
        </w:rPr>
        <w:t>This is done by</w:t>
      </w:r>
      <w:r w:rsidR="00AF3369">
        <w:rPr>
          <w:lang w:val="en-US"/>
        </w:rPr>
        <w:t xml:space="preserve"> guaranteeing the right to family environment and access to quality care and individuali</w:t>
      </w:r>
      <w:r w:rsidR="005A4A37">
        <w:rPr>
          <w:lang w:val="en-US"/>
        </w:rPr>
        <w:t>s</w:t>
      </w:r>
      <w:r w:rsidR="00AF3369">
        <w:rPr>
          <w:lang w:val="en-US"/>
        </w:rPr>
        <w:t>ed services.</w:t>
      </w:r>
      <w:r w:rsidR="005A4A37">
        <w:rPr>
          <w:lang w:val="en-US"/>
        </w:rPr>
        <w:t xml:space="preserve"> The strategy is operationalized in an action plan and annual monitoring reports on its implementation. </w:t>
      </w:r>
    </w:p>
    <w:p w14:paraId="4736A705" w14:textId="77777777" w:rsidR="001E56FE" w:rsidRDefault="001E56FE" w:rsidP="0032208C">
      <w:pPr>
        <w:pStyle w:val="FRABodyText"/>
        <w:rPr>
          <w:lang w:val="en-US"/>
        </w:rPr>
      </w:pPr>
    </w:p>
    <w:p w14:paraId="54E18900" w14:textId="17C9BD5C" w:rsidR="00AF3369" w:rsidRPr="001E56FE" w:rsidRDefault="00AF3369" w:rsidP="0032208C">
      <w:pPr>
        <w:pStyle w:val="FRABodyText"/>
        <w:rPr>
          <w:lang w:val="en-US"/>
        </w:rPr>
      </w:pPr>
      <w:r>
        <w:rPr>
          <w:lang w:val="bg-BG"/>
        </w:rPr>
        <w:t xml:space="preserve">The </w:t>
      </w:r>
      <w:r w:rsidR="005A4A37">
        <w:rPr>
          <w:lang w:val="en-US"/>
        </w:rPr>
        <w:t>national anti-poverty strategy</w:t>
      </w:r>
      <w:r>
        <w:rPr>
          <w:rStyle w:val="FootnoteReference"/>
          <w:lang w:val="bg-BG"/>
        </w:rPr>
        <w:footnoteReference w:id="118"/>
      </w:r>
      <w:r>
        <w:rPr>
          <w:lang w:val="en-US"/>
        </w:rPr>
        <w:t xml:space="preserve"> refers to children </w:t>
      </w:r>
      <w:r w:rsidR="005A4A37">
        <w:rPr>
          <w:lang w:val="en-US"/>
        </w:rPr>
        <w:t>on</w:t>
      </w:r>
      <w:r>
        <w:rPr>
          <w:lang w:val="en-US"/>
        </w:rPr>
        <w:t xml:space="preserve"> numerous occasions, </w:t>
      </w:r>
      <w:r w:rsidR="005368E1">
        <w:rPr>
          <w:lang w:val="en-US"/>
        </w:rPr>
        <w:t>e.g.</w:t>
      </w:r>
      <w:r w:rsidR="005A4A37">
        <w:rPr>
          <w:lang w:val="en-US"/>
        </w:rPr>
        <w:t xml:space="preserve"> </w:t>
      </w:r>
      <w:r>
        <w:rPr>
          <w:lang w:val="en-US"/>
        </w:rPr>
        <w:t xml:space="preserve">putting an end to the institutional model of </w:t>
      </w:r>
      <w:r w:rsidR="005A4A37">
        <w:rPr>
          <w:lang w:val="en-US"/>
        </w:rPr>
        <w:t>care</w:t>
      </w:r>
      <w:r>
        <w:rPr>
          <w:lang w:val="en-US"/>
        </w:rPr>
        <w:t xml:space="preserve"> as well as the development of inter-sectoral services for social inclusion.</w:t>
      </w:r>
      <w:r w:rsidR="001E56FE">
        <w:rPr>
          <w:lang w:val="bg-BG"/>
        </w:rPr>
        <w:t xml:space="preserve"> </w:t>
      </w:r>
      <w:r w:rsidR="001E56FE">
        <w:rPr>
          <w:lang w:val="en-US"/>
        </w:rPr>
        <w:t xml:space="preserve">Specially vulnerable children mentioned are those raised in poor households, </w:t>
      </w:r>
      <w:r w:rsidR="00A92250">
        <w:rPr>
          <w:lang w:val="en-US"/>
        </w:rPr>
        <w:t>in</w:t>
      </w:r>
      <w:r w:rsidR="001E56FE">
        <w:rPr>
          <w:lang w:val="en-US"/>
        </w:rPr>
        <w:t xml:space="preserve"> low income and vulnerable ethnic group’ families not covered by kindergarten and pre-school education, </w:t>
      </w:r>
      <w:r w:rsidR="00580E7E">
        <w:rPr>
          <w:lang w:val="en-US"/>
        </w:rPr>
        <w:t>children from risk groups, which should participate in all-day schooling, children leaving specialised institutions</w:t>
      </w:r>
      <w:r w:rsidR="00E60626">
        <w:rPr>
          <w:lang w:val="en-US"/>
        </w:rPr>
        <w:t xml:space="preserve">. </w:t>
      </w:r>
    </w:p>
    <w:p w14:paraId="2D5C4102" w14:textId="77777777" w:rsidR="001E56FE" w:rsidRDefault="001E56FE" w:rsidP="0032208C">
      <w:pPr>
        <w:pStyle w:val="FRABodyText"/>
        <w:rPr>
          <w:lang w:val="en-US"/>
        </w:rPr>
      </w:pPr>
    </w:p>
    <w:p w14:paraId="79AAB5FC" w14:textId="0CF6111D" w:rsidR="00AF3369" w:rsidRDefault="00D83801" w:rsidP="0032208C">
      <w:pPr>
        <w:pStyle w:val="FRABodyText"/>
        <w:rPr>
          <w:lang w:val="en-US"/>
        </w:rPr>
      </w:pPr>
      <w:r>
        <w:rPr>
          <w:lang w:val="en-US"/>
        </w:rPr>
        <w:t>T</w:t>
      </w:r>
      <w:r w:rsidR="00AF3369">
        <w:rPr>
          <w:lang w:val="en-US"/>
        </w:rPr>
        <w:t>he Bulgarian Helsinki Committee</w:t>
      </w:r>
      <w:r w:rsidR="007F72CC">
        <w:rPr>
          <w:lang w:val="en-US"/>
        </w:rPr>
        <w:t xml:space="preserve"> (BHC)</w:t>
      </w:r>
      <w:r w:rsidR="00AF3369">
        <w:rPr>
          <w:lang w:val="en-US"/>
        </w:rPr>
        <w:t xml:space="preserve"> </w:t>
      </w:r>
      <w:r w:rsidR="00AF3369" w:rsidRPr="0016577F">
        <w:rPr>
          <w:i/>
          <w:lang w:val="en-US"/>
        </w:rPr>
        <w:t>(</w:t>
      </w:r>
      <w:r w:rsidR="00AF3369" w:rsidRPr="0016577F">
        <w:rPr>
          <w:i/>
          <w:lang w:val="bg-BG"/>
        </w:rPr>
        <w:t>Български хелзинкски комитет</w:t>
      </w:r>
      <w:r w:rsidR="007F72CC">
        <w:rPr>
          <w:i/>
          <w:lang w:val="en-US"/>
        </w:rPr>
        <w:t xml:space="preserve">, </w:t>
      </w:r>
      <w:r w:rsidR="007F72CC" w:rsidRPr="007F72CC">
        <w:rPr>
          <w:lang w:val="bg-BG"/>
        </w:rPr>
        <w:t>БХК</w:t>
      </w:r>
      <w:r w:rsidR="00AF3369" w:rsidRPr="0016577F">
        <w:rPr>
          <w:i/>
          <w:lang w:val="en-US"/>
        </w:rPr>
        <w:t>)</w:t>
      </w:r>
      <w:r w:rsidRPr="00D83801">
        <w:rPr>
          <w:rStyle w:val="FootnoteReference"/>
          <w:sz w:val="24"/>
          <w:szCs w:val="24"/>
          <w:lang w:val="bg-BG"/>
        </w:rPr>
        <w:t xml:space="preserve"> </w:t>
      </w:r>
      <w:r w:rsidRPr="003A30A7">
        <w:rPr>
          <w:rStyle w:val="FootnoteReference"/>
          <w:sz w:val="24"/>
          <w:szCs w:val="24"/>
          <w:lang w:val="bg-BG"/>
        </w:rPr>
        <w:footnoteReference w:id="119"/>
      </w:r>
      <w:r w:rsidR="00AF3369">
        <w:rPr>
          <w:lang w:val="en-US"/>
        </w:rPr>
        <w:t xml:space="preserve"> </w:t>
      </w:r>
      <w:r w:rsidR="007F72CC">
        <w:rPr>
          <w:lang w:val="en-US"/>
        </w:rPr>
        <w:t xml:space="preserve">outlines many intertwined vulnerabilities of children. </w:t>
      </w:r>
      <w:r w:rsidR="008D4FFE">
        <w:rPr>
          <w:lang w:val="en-US"/>
        </w:rPr>
        <w:t xml:space="preserve">It </w:t>
      </w:r>
      <w:r w:rsidR="00AF3369">
        <w:rPr>
          <w:lang w:val="en-US"/>
        </w:rPr>
        <w:t xml:space="preserve">points out the pejorative discourse of </w:t>
      </w:r>
      <w:r>
        <w:rPr>
          <w:lang w:val="en-US"/>
        </w:rPr>
        <w:t>a</w:t>
      </w:r>
      <w:r w:rsidR="00AF3369">
        <w:rPr>
          <w:lang w:val="en-US"/>
        </w:rPr>
        <w:t xml:space="preserve"> vice prime-minister of Bulgaria against children with disabilities and their families</w:t>
      </w:r>
      <w:r w:rsidR="008D4FFE">
        <w:rPr>
          <w:lang w:val="en-US"/>
        </w:rPr>
        <w:t xml:space="preserve"> and some events in </w:t>
      </w:r>
      <w:r w:rsidR="00AF3369">
        <w:rPr>
          <w:lang w:val="en-US"/>
        </w:rPr>
        <w:t xml:space="preserve">October 2018 in which police allegedly beat inhabitants of a predominantly Roma neighborhood, including children. </w:t>
      </w:r>
      <w:r w:rsidR="00221D87">
        <w:rPr>
          <w:lang w:val="en-US"/>
        </w:rPr>
        <w:t>T</w:t>
      </w:r>
      <w:r w:rsidR="00AF3369">
        <w:rPr>
          <w:lang w:val="en-US"/>
        </w:rPr>
        <w:t xml:space="preserve">he report concludes that there has been no apparent improvement in the State’s practices related to placing children in crisis centers and </w:t>
      </w:r>
      <w:r w:rsidR="008D4FFE">
        <w:rPr>
          <w:lang w:val="en-US"/>
        </w:rPr>
        <w:t>demolishing</w:t>
      </w:r>
      <w:r w:rsidR="00AF3369">
        <w:rPr>
          <w:lang w:val="en-US"/>
        </w:rPr>
        <w:t xml:space="preserve"> illegal building</w:t>
      </w:r>
      <w:r w:rsidR="008D4FFE">
        <w:rPr>
          <w:lang w:val="en-US"/>
        </w:rPr>
        <w:t>s</w:t>
      </w:r>
      <w:r w:rsidR="00AF3369">
        <w:rPr>
          <w:lang w:val="en-US"/>
        </w:rPr>
        <w:t xml:space="preserve">, leaving families, including children, without a shelter. Similarly to the National Strategy for the Child, this report also points out the fact that Bulgaria has one of the highest child mortality rates within the European Union. The report </w:t>
      </w:r>
      <w:r w:rsidR="008D4FFE">
        <w:rPr>
          <w:lang w:val="en-US"/>
        </w:rPr>
        <w:t xml:space="preserve">also </w:t>
      </w:r>
      <w:r w:rsidR="00AF3369">
        <w:rPr>
          <w:lang w:val="en-US"/>
        </w:rPr>
        <w:t xml:space="preserve">tackles the persistent risks of social exclusion of </w:t>
      </w:r>
      <w:r>
        <w:rPr>
          <w:lang w:val="en-US"/>
        </w:rPr>
        <w:t xml:space="preserve">institutionalised </w:t>
      </w:r>
      <w:r w:rsidR="00AF3369">
        <w:rPr>
          <w:lang w:val="en-US"/>
        </w:rPr>
        <w:t xml:space="preserve">children, despite the </w:t>
      </w:r>
      <w:r w:rsidR="008D4FFE">
        <w:rPr>
          <w:lang w:val="en-US"/>
        </w:rPr>
        <w:t xml:space="preserve">progress in </w:t>
      </w:r>
      <w:r w:rsidR="00AF3369">
        <w:rPr>
          <w:lang w:val="en-US"/>
        </w:rPr>
        <w:t>deinstitutionali</w:t>
      </w:r>
      <w:r w:rsidR="008D4FFE">
        <w:rPr>
          <w:lang w:val="en-US"/>
        </w:rPr>
        <w:t>s</w:t>
      </w:r>
      <w:r w:rsidR="00AF3369">
        <w:rPr>
          <w:lang w:val="en-US"/>
        </w:rPr>
        <w:t>ation. For Our Children Foundation</w:t>
      </w:r>
      <w:r w:rsidR="00AF3369">
        <w:rPr>
          <w:rStyle w:val="FootnoteReference"/>
          <w:lang w:val="en-US"/>
        </w:rPr>
        <w:footnoteReference w:id="120"/>
      </w:r>
      <w:r w:rsidR="00AF3369">
        <w:rPr>
          <w:lang w:val="en-US"/>
        </w:rPr>
        <w:t xml:space="preserve"> </w:t>
      </w:r>
      <w:r w:rsidR="00867EBD">
        <w:rPr>
          <w:lang w:val="en-US"/>
        </w:rPr>
        <w:t xml:space="preserve">elaborates on the challenges of improving </w:t>
      </w:r>
      <w:r w:rsidR="00AF3369">
        <w:rPr>
          <w:lang w:val="en-US"/>
        </w:rPr>
        <w:t>the living conditions of children, especially those at risk</w:t>
      </w:r>
      <w:r w:rsidR="00867EBD">
        <w:rPr>
          <w:lang w:val="en-US"/>
        </w:rPr>
        <w:t>,</w:t>
      </w:r>
      <w:r w:rsidR="00AF3369">
        <w:rPr>
          <w:lang w:val="en-US"/>
        </w:rPr>
        <w:t xml:space="preserve"> </w:t>
      </w:r>
      <w:r w:rsidR="00867EBD">
        <w:rPr>
          <w:lang w:val="en-US"/>
        </w:rPr>
        <w:t>and</w:t>
      </w:r>
      <w:r w:rsidR="00AF3369">
        <w:rPr>
          <w:lang w:val="en-US"/>
        </w:rPr>
        <w:t xml:space="preserve"> </w:t>
      </w:r>
      <w:r w:rsidR="00867EBD">
        <w:rPr>
          <w:lang w:val="en-US"/>
        </w:rPr>
        <w:t>overcoming various gaps in</w:t>
      </w:r>
      <w:r w:rsidR="00AF3369">
        <w:rPr>
          <w:lang w:val="en-US"/>
        </w:rPr>
        <w:t xml:space="preserve"> services</w:t>
      </w:r>
      <w:r w:rsidR="00867EBD">
        <w:rPr>
          <w:lang w:val="en-US"/>
        </w:rPr>
        <w:t>.</w:t>
      </w:r>
      <w:r w:rsidR="00AF3369">
        <w:rPr>
          <w:lang w:val="en-US"/>
        </w:rPr>
        <w:t xml:space="preserve"> </w:t>
      </w:r>
      <w:r w:rsidR="00867EBD">
        <w:rPr>
          <w:lang w:val="en-US"/>
        </w:rPr>
        <w:t>N</w:t>
      </w:r>
      <w:r w:rsidR="00AF3369">
        <w:rPr>
          <w:lang w:val="en-US"/>
        </w:rPr>
        <w:t xml:space="preserve">umerous recommendations </w:t>
      </w:r>
      <w:r>
        <w:rPr>
          <w:lang w:val="en-US"/>
        </w:rPr>
        <w:t>are given</w:t>
      </w:r>
      <w:r w:rsidR="00867EBD">
        <w:rPr>
          <w:lang w:val="en-US"/>
        </w:rPr>
        <w:t xml:space="preserve"> </w:t>
      </w:r>
      <w:r w:rsidR="00AF3369">
        <w:rPr>
          <w:lang w:val="en-US"/>
        </w:rPr>
        <w:t>for improvements of the healthcare, educational and social welfare systems in their interaction with children</w:t>
      </w:r>
      <w:r w:rsidR="00867EBD">
        <w:rPr>
          <w:lang w:val="en-US"/>
        </w:rPr>
        <w:t xml:space="preserve"> of early age</w:t>
      </w:r>
      <w:r w:rsidR="00AF3369">
        <w:rPr>
          <w:lang w:val="en-US"/>
        </w:rPr>
        <w:t xml:space="preserve">. </w:t>
      </w:r>
    </w:p>
    <w:p w14:paraId="294011AB" w14:textId="77777777" w:rsidR="00867EBD" w:rsidRDefault="00867EBD" w:rsidP="0032208C">
      <w:pPr>
        <w:pStyle w:val="FRABodyText"/>
        <w:rPr>
          <w:lang w:val="en-US"/>
        </w:rPr>
      </w:pPr>
    </w:p>
    <w:p w14:paraId="0E299020" w14:textId="7C1AEBFB" w:rsidR="00663911" w:rsidRDefault="00663911" w:rsidP="0032208C">
      <w:pPr>
        <w:pStyle w:val="FRABodyText"/>
        <w:rPr>
          <w:lang w:val="en-US"/>
        </w:rPr>
      </w:pPr>
      <w:r>
        <w:rPr>
          <w:lang w:val="en-US"/>
        </w:rPr>
        <w:t xml:space="preserve">NGOs have been instrumental in countering newer risks for children’s well-being such as various </w:t>
      </w:r>
      <w:r w:rsidR="00D83801">
        <w:rPr>
          <w:lang w:val="en-US"/>
        </w:rPr>
        <w:t xml:space="preserve">online </w:t>
      </w:r>
      <w:r>
        <w:rPr>
          <w:lang w:val="en-US"/>
        </w:rPr>
        <w:t>threats. Initiatives like the Safer Internet Centre</w:t>
      </w:r>
      <w:r>
        <w:rPr>
          <w:rStyle w:val="FootnoteReference"/>
          <w:lang w:val="en-US"/>
        </w:rPr>
        <w:footnoteReference w:id="121"/>
      </w:r>
      <w:r>
        <w:rPr>
          <w:lang w:val="en-US"/>
        </w:rPr>
        <w:t xml:space="preserve"> have consistently worked towards preventing and countering </w:t>
      </w:r>
      <w:r w:rsidR="00D83801">
        <w:rPr>
          <w:lang w:val="en-US"/>
        </w:rPr>
        <w:t xml:space="preserve">online </w:t>
      </w:r>
      <w:r>
        <w:rPr>
          <w:lang w:val="en-US"/>
        </w:rPr>
        <w:t xml:space="preserve">child grooming and abuse, child pornography, bullying and harassment, etc.  </w:t>
      </w:r>
    </w:p>
    <w:p w14:paraId="6124C976" w14:textId="77777777" w:rsidR="00663911" w:rsidRPr="00663911" w:rsidRDefault="00663911" w:rsidP="0032208C">
      <w:pPr>
        <w:pStyle w:val="FRABodyText"/>
        <w:rPr>
          <w:lang w:val="en-US"/>
        </w:rPr>
      </w:pPr>
    </w:p>
    <w:p w14:paraId="19F299ED" w14:textId="00311585" w:rsidR="00867EBD" w:rsidRDefault="005E07DB" w:rsidP="0032208C">
      <w:pPr>
        <w:pStyle w:val="FRABodyText"/>
        <w:rPr>
          <w:lang w:val="en-US"/>
        </w:rPr>
      </w:pPr>
      <w:r>
        <w:rPr>
          <w:lang w:val="en-US"/>
        </w:rPr>
        <w:t xml:space="preserve">Thus, </w:t>
      </w:r>
      <w:r w:rsidR="00642E65">
        <w:rPr>
          <w:lang w:val="en-US"/>
        </w:rPr>
        <w:t>policy documents specify</w:t>
      </w:r>
      <w:r>
        <w:rPr>
          <w:lang w:val="en-US"/>
        </w:rPr>
        <w:t xml:space="preserve"> a number of concrete risks, such as institutionalisation, domestic violence and sexual abuse and exploitation (in the family) and lack of co-ordination and co-operation among various institutions and service providers</w:t>
      </w:r>
      <w:r w:rsidR="00642E65">
        <w:rPr>
          <w:lang w:val="en-US"/>
        </w:rPr>
        <w:t>. Moreover, (interinstitutional) documents</w:t>
      </w:r>
      <w:r>
        <w:rPr>
          <w:lang w:val="en-US"/>
        </w:rPr>
        <w:t xml:space="preserve"> </w:t>
      </w:r>
      <w:r w:rsidR="00642E65">
        <w:rPr>
          <w:lang w:val="en-US"/>
        </w:rPr>
        <w:t xml:space="preserve">and NGO contributions </w:t>
      </w:r>
      <w:r>
        <w:rPr>
          <w:lang w:val="en-US"/>
        </w:rPr>
        <w:t xml:space="preserve">mark the shift in society’s vision of children’s development </w:t>
      </w:r>
      <w:r w:rsidR="00956119">
        <w:rPr>
          <w:lang w:val="en-US"/>
        </w:rPr>
        <w:t>dividing it into stages</w:t>
      </w:r>
      <w:r w:rsidR="00642E65">
        <w:rPr>
          <w:lang w:val="en-US"/>
        </w:rPr>
        <w:t xml:space="preserve"> and marking various links between vulnerabilities. </w:t>
      </w:r>
      <w:r w:rsidR="00956119">
        <w:rPr>
          <w:lang w:val="en-US"/>
        </w:rPr>
        <w:t xml:space="preserve"> </w:t>
      </w:r>
    </w:p>
    <w:p w14:paraId="574D5824" w14:textId="4D3B44B4" w:rsidR="000322CA" w:rsidRDefault="000322CA" w:rsidP="0032208C">
      <w:pPr>
        <w:pStyle w:val="FRABodyText"/>
        <w:rPr>
          <w:lang w:val="en-US"/>
        </w:rPr>
      </w:pPr>
    </w:p>
    <w:p w14:paraId="75C78F3E" w14:textId="5077DBED" w:rsidR="000322CA" w:rsidRPr="00D75390" w:rsidRDefault="00D75390" w:rsidP="0032208C">
      <w:pPr>
        <w:pStyle w:val="FRABodyText"/>
        <w:rPr>
          <w:lang w:val="en-US"/>
        </w:rPr>
      </w:pPr>
      <w:r>
        <w:rPr>
          <w:lang w:val="en-US"/>
        </w:rPr>
        <w:lastRenderedPageBreak/>
        <w:t>Measures concerning children at risk are financed by the state budget, operational programmes and sectoral programmes like ‘Sports for children at risk’.</w:t>
      </w:r>
      <w:r>
        <w:rPr>
          <w:rStyle w:val="FootnoteReference"/>
          <w:lang w:val="en-US"/>
        </w:rPr>
        <w:footnoteReference w:id="122"/>
      </w:r>
    </w:p>
    <w:p w14:paraId="080F6966" w14:textId="77777777" w:rsidR="00F106E0" w:rsidRPr="00F106E0" w:rsidRDefault="00F106E0" w:rsidP="0032208C">
      <w:pPr>
        <w:pStyle w:val="FRABodyText"/>
      </w:pPr>
      <w:r w:rsidRPr="00F106E0">
        <w:t xml:space="preserve"> </w:t>
      </w:r>
    </w:p>
    <w:p w14:paraId="524B3529" w14:textId="77777777" w:rsidR="00F106E0" w:rsidRDefault="00F106E0" w:rsidP="008E576F">
      <w:pPr>
        <w:numPr>
          <w:ilvl w:val="0"/>
          <w:numId w:val="6"/>
        </w:numPr>
        <w:spacing w:line="276" w:lineRule="auto"/>
        <w:rPr>
          <w:b/>
        </w:rPr>
      </w:pPr>
      <w:r w:rsidRPr="00F106E0">
        <w:rPr>
          <w:b/>
        </w:rPr>
        <w:t>Persons with Disabilities</w:t>
      </w:r>
    </w:p>
    <w:p w14:paraId="391612FB" w14:textId="2421CBB6" w:rsidR="000375B6" w:rsidRDefault="00A8402C" w:rsidP="0032208C">
      <w:pPr>
        <w:pStyle w:val="FRABodyText"/>
      </w:pPr>
      <w:r>
        <w:t xml:space="preserve">The </w:t>
      </w:r>
      <w:r w:rsidR="000375B6" w:rsidRPr="007B28F4">
        <w:t>National Strategy for Persons with Disabilities 2016-2020</w:t>
      </w:r>
      <w:r w:rsidR="000375B6" w:rsidRPr="007B28F4">
        <w:rPr>
          <w:rStyle w:val="FootnoteReference"/>
          <w:sz w:val="24"/>
          <w:szCs w:val="24"/>
        </w:rPr>
        <w:footnoteReference w:id="123"/>
      </w:r>
      <w:r w:rsidR="000375B6">
        <w:rPr>
          <w:b/>
        </w:rPr>
        <w:t xml:space="preserve"> </w:t>
      </w:r>
      <w:r w:rsidR="00EF5ACC">
        <w:t>aims at</w:t>
      </w:r>
      <w:r w:rsidRPr="00A8402C">
        <w:t xml:space="preserve"> improving the quality of life of people with disabilities, non-discrimination on the grounds of disability, full and active participation in all areas of public life and promoting respect for rights.</w:t>
      </w:r>
      <w:r w:rsidR="000375B6">
        <w:t xml:space="preserve"> </w:t>
      </w:r>
      <w:r w:rsidR="000375B6">
        <w:br/>
        <w:t xml:space="preserve">Some of the key policy </w:t>
      </w:r>
      <w:r>
        <w:t>challenges</w:t>
      </w:r>
      <w:r w:rsidR="00B7218A" w:rsidRPr="00B7218A">
        <w:t xml:space="preserve"> </w:t>
      </w:r>
      <w:r w:rsidR="00B7218A">
        <w:t>mentioned</w:t>
      </w:r>
      <w:r w:rsidR="00763066">
        <w:t>, and therefore vulnerability factors,</w:t>
      </w:r>
      <w:r>
        <w:t xml:space="preserve"> </w:t>
      </w:r>
      <w:r w:rsidR="000375B6">
        <w:t xml:space="preserve">are </w:t>
      </w:r>
      <w:r w:rsidR="00763066">
        <w:t>ensuring</w:t>
      </w:r>
      <w:r w:rsidR="000375B6">
        <w:t xml:space="preserve"> job opportunities</w:t>
      </w:r>
      <w:r w:rsidR="0017127B">
        <w:rPr>
          <w:lang w:val="en-US"/>
        </w:rPr>
        <w:t>/lack of adapted jobs</w:t>
      </w:r>
      <w:r w:rsidR="000375B6">
        <w:t xml:space="preserve"> </w:t>
      </w:r>
      <w:r w:rsidR="00B7218A">
        <w:rPr>
          <w:lang w:val="en-US"/>
        </w:rPr>
        <w:t>for</w:t>
      </w:r>
      <w:r w:rsidR="000375B6">
        <w:t xml:space="preserve"> people with disabilities in an integrated work environment</w:t>
      </w:r>
      <w:r w:rsidR="00763066">
        <w:t>;</w:t>
      </w:r>
      <w:r w:rsidR="000375B6">
        <w:t xml:space="preserve"> </w:t>
      </w:r>
      <w:r w:rsidR="00763066">
        <w:t>providing</w:t>
      </w:r>
      <w:r w:rsidR="000375B6">
        <w:t xml:space="preserve"> support for workers and employers</w:t>
      </w:r>
      <w:r w:rsidR="00763066">
        <w:t>;</w:t>
      </w:r>
      <w:r w:rsidR="000375B6">
        <w:t xml:space="preserve"> access to transport</w:t>
      </w:r>
      <w:r w:rsidR="00763066">
        <w:t>;</w:t>
      </w:r>
      <w:r w:rsidR="000375B6">
        <w:t xml:space="preserve"> accessible information and communication</w:t>
      </w:r>
      <w:r w:rsidR="00763066">
        <w:t>;</w:t>
      </w:r>
      <w:r w:rsidR="000375B6">
        <w:t xml:space="preserve"> lack of collaboration </w:t>
      </w:r>
      <w:r w:rsidR="005D28B4">
        <w:t xml:space="preserve">and a fractioned approach </w:t>
      </w:r>
      <w:r w:rsidR="0017127B">
        <w:t>among</w:t>
      </w:r>
      <w:r w:rsidR="000375B6">
        <w:t xml:space="preserve"> public institutions</w:t>
      </w:r>
      <w:r w:rsidR="00763066">
        <w:t>; shortage of professionals and lack of timely and continuous training in the educational sphere, as well as accessible environment for children and students with disabilities; supportive environment and positive attitude in inclusive education; equal access to quality health services; adequate support for community-based life; conditions for participation of people with disabilities in sporting activities, recreation, tourism and cultural life.</w:t>
      </w:r>
      <w:r w:rsidR="000375B6">
        <w:t xml:space="preserve"> Two action plans (one-year and three-year</w:t>
      </w:r>
      <w:r w:rsidR="00EF5ACC">
        <w:rPr>
          <w:rStyle w:val="FootnoteReference"/>
        </w:rPr>
        <w:footnoteReference w:id="124"/>
      </w:r>
      <w:r w:rsidR="000375B6">
        <w:t>) set out the details of the implementation of the measures</w:t>
      </w:r>
      <w:r w:rsidR="00F04D66">
        <w:t>.</w:t>
      </w:r>
    </w:p>
    <w:p w14:paraId="58B44573" w14:textId="77777777" w:rsidR="006E2F82" w:rsidRDefault="006E2F82" w:rsidP="0032208C">
      <w:pPr>
        <w:pStyle w:val="FRABodyText"/>
        <w:rPr>
          <w:b/>
        </w:rPr>
      </w:pPr>
    </w:p>
    <w:p w14:paraId="1EE305BF" w14:textId="30141914" w:rsidR="000375B6" w:rsidRDefault="00A210C5" w:rsidP="0032208C">
      <w:pPr>
        <w:pStyle w:val="FRABodyText"/>
        <w:rPr>
          <w:lang w:val="en-US"/>
        </w:rPr>
      </w:pPr>
      <w:r>
        <w:rPr>
          <w:lang w:val="en-US"/>
        </w:rPr>
        <w:t xml:space="preserve">The </w:t>
      </w:r>
      <w:r w:rsidR="000375B6" w:rsidRPr="00A210C5">
        <w:t>National Health Strategy 2020</w:t>
      </w:r>
      <w:r>
        <w:t xml:space="preserve"> </w:t>
      </w:r>
      <w:r w:rsidRPr="00A210C5">
        <w:rPr>
          <w:i/>
        </w:rPr>
        <w:t>(</w:t>
      </w:r>
      <w:r w:rsidRPr="00A210C5">
        <w:rPr>
          <w:i/>
          <w:lang w:val="bg-BG"/>
        </w:rPr>
        <w:t>Национална здравна стратегия</w:t>
      </w:r>
      <w:r w:rsidRPr="00A210C5">
        <w:rPr>
          <w:i/>
        </w:rPr>
        <w:t>)</w:t>
      </w:r>
      <w:r w:rsidR="000375B6" w:rsidRPr="00A210C5">
        <w:rPr>
          <w:rStyle w:val="FootnoteReference"/>
          <w:sz w:val="24"/>
          <w:szCs w:val="24"/>
        </w:rPr>
        <w:footnoteReference w:id="125"/>
      </w:r>
      <w:r w:rsidR="000375B6">
        <w:rPr>
          <w:b/>
        </w:rPr>
        <w:t xml:space="preserve"> </w:t>
      </w:r>
      <w:r w:rsidR="00B8145F">
        <w:t xml:space="preserve">where </w:t>
      </w:r>
      <w:r w:rsidR="000375B6">
        <w:t>people with disabilities</w:t>
      </w:r>
      <w:r w:rsidR="00B8145F">
        <w:t xml:space="preserve"> are a particular focus,</w:t>
      </w:r>
      <w:r w:rsidR="000375B6">
        <w:rPr>
          <w:lang w:val="en-US"/>
        </w:rPr>
        <w:t xml:space="preserve"> outlines two key challenges</w:t>
      </w:r>
      <w:r>
        <w:rPr>
          <w:lang w:val="en-US"/>
        </w:rPr>
        <w:t>, and thus vulnerability risks</w:t>
      </w:r>
      <w:r w:rsidR="000375B6">
        <w:rPr>
          <w:lang w:val="en-US"/>
        </w:rPr>
        <w:t xml:space="preserve">: the access to health services and the </w:t>
      </w:r>
      <w:r>
        <w:rPr>
          <w:lang w:val="en-US"/>
        </w:rPr>
        <w:t>unadapted</w:t>
      </w:r>
      <w:r w:rsidR="000375B6">
        <w:rPr>
          <w:lang w:val="en-US"/>
        </w:rPr>
        <w:t xml:space="preserve"> medical expertise system, which excludes</w:t>
      </w:r>
      <w:r w:rsidR="00B8145F">
        <w:rPr>
          <w:lang w:val="en-US"/>
        </w:rPr>
        <w:t xml:space="preserve"> and de-individualises</w:t>
      </w:r>
      <w:r w:rsidR="000375B6">
        <w:rPr>
          <w:lang w:val="en-US"/>
        </w:rPr>
        <w:t xml:space="preserve"> people with disabilities. The Strategy focuses on prevention of disabilities by concentrating on the</w:t>
      </w:r>
      <w:r w:rsidR="00EF5ACC">
        <w:rPr>
          <w:lang w:val="en-US"/>
        </w:rPr>
        <w:t>ir</w:t>
      </w:r>
      <w:r w:rsidR="000375B6">
        <w:rPr>
          <w:lang w:val="en-US"/>
        </w:rPr>
        <w:t xml:space="preserve"> root causes</w:t>
      </w:r>
      <w:r w:rsidR="00D565E4">
        <w:rPr>
          <w:lang w:val="en-US"/>
        </w:rPr>
        <w:t xml:space="preserve"> and proposing</w:t>
      </w:r>
      <w:r w:rsidR="00EF5ACC">
        <w:rPr>
          <w:lang w:val="en-US"/>
        </w:rPr>
        <w:t xml:space="preserve"> measures such as</w:t>
      </w:r>
      <w:r w:rsidR="000375B6">
        <w:rPr>
          <w:lang w:val="en-US"/>
        </w:rPr>
        <w:t xml:space="preserve"> the prevention of disabilities through a stronger and more developed early diagnos</w:t>
      </w:r>
      <w:r>
        <w:rPr>
          <w:lang w:val="en-US"/>
        </w:rPr>
        <w:t>tic process</w:t>
      </w:r>
      <w:r w:rsidR="000375B6">
        <w:rPr>
          <w:lang w:val="en-US"/>
        </w:rPr>
        <w:t xml:space="preserve"> coupled with immediate and effective care, the development of mechanisms for physical therapy and rehabilitation, better </w:t>
      </w:r>
      <w:r>
        <w:rPr>
          <w:lang w:val="en-US"/>
        </w:rPr>
        <w:t>staff training</w:t>
      </w:r>
      <w:r w:rsidR="000375B6">
        <w:rPr>
          <w:lang w:val="en-US"/>
        </w:rPr>
        <w:t xml:space="preserve"> </w:t>
      </w:r>
      <w:r w:rsidR="00EF5ACC">
        <w:rPr>
          <w:lang w:val="en-US"/>
        </w:rPr>
        <w:t>on caring for</w:t>
      </w:r>
      <w:r w:rsidR="000375B6">
        <w:rPr>
          <w:lang w:val="en-US"/>
        </w:rPr>
        <w:t xml:space="preserve"> persons with disabilities</w:t>
      </w:r>
      <w:r>
        <w:rPr>
          <w:lang w:val="en-US"/>
        </w:rPr>
        <w:t>, improving access to healthcare and new community-based approaches</w:t>
      </w:r>
      <w:r w:rsidR="000375B6">
        <w:rPr>
          <w:lang w:val="en-US"/>
        </w:rPr>
        <w:t>.</w:t>
      </w:r>
      <w:r>
        <w:rPr>
          <w:lang w:val="en-US"/>
        </w:rPr>
        <w:t xml:space="preserve"> The Strategy is operationalised in an action plan.</w:t>
      </w:r>
      <w:r>
        <w:rPr>
          <w:rStyle w:val="FootnoteReference"/>
          <w:lang w:val="en-US"/>
        </w:rPr>
        <w:footnoteReference w:id="126"/>
      </w:r>
    </w:p>
    <w:p w14:paraId="6828F9AD" w14:textId="77777777" w:rsidR="00A210C5" w:rsidRDefault="00A210C5" w:rsidP="0032208C">
      <w:pPr>
        <w:pStyle w:val="FRABodyText"/>
      </w:pPr>
    </w:p>
    <w:p w14:paraId="1075C582" w14:textId="6A990A5F" w:rsidR="00CF37C8" w:rsidRPr="006D2A9B" w:rsidRDefault="00CF37C8" w:rsidP="0032208C">
      <w:pPr>
        <w:pStyle w:val="FRABodyText"/>
      </w:pPr>
      <w:r>
        <w:rPr>
          <w:lang w:val="en-US"/>
        </w:rPr>
        <w:t>The national anti-poverty and social inclusion strategy</w:t>
      </w:r>
      <w:r>
        <w:rPr>
          <w:rStyle w:val="FootnoteReference"/>
          <w:lang w:val="en-US"/>
        </w:rPr>
        <w:footnoteReference w:id="127"/>
      </w:r>
      <w:r>
        <w:rPr>
          <w:lang w:val="en-US"/>
        </w:rPr>
        <w:t xml:space="preserve"> refers to the people with long-term disabilities as one of the foremost groups in need of active inclusion in the labour market. Children with disabilities are mentioned as needing equal access to education. Equal access to culture and sports, as well as to information and communication, </w:t>
      </w:r>
      <w:r w:rsidR="001A4E9F">
        <w:rPr>
          <w:lang w:val="en-US"/>
        </w:rPr>
        <w:t xml:space="preserve">and accessible physical environment, </w:t>
      </w:r>
      <w:r>
        <w:rPr>
          <w:lang w:val="en-US"/>
        </w:rPr>
        <w:t xml:space="preserve">is also pointed out as a pressing need. </w:t>
      </w:r>
      <w:r w:rsidR="00AC22FB">
        <w:rPr>
          <w:lang w:val="en-US"/>
        </w:rPr>
        <w:t>People with disabilities are also among the main target groups of the national employment action plan.</w:t>
      </w:r>
      <w:r w:rsidR="00AC22FB">
        <w:rPr>
          <w:rStyle w:val="FootnoteReference"/>
          <w:lang w:val="en-US"/>
        </w:rPr>
        <w:footnoteReference w:id="128"/>
      </w:r>
    </w:p>
    <w:p w14:paraId="02AACEBB" w14:textId="77777777" w:rsidR="00CF37C8" w:rsidRDefault="00CF37C8" w:rsidP="0032208C">
      <w:pPr>
        <w:pStyle w:val="FRABodyText"/>
      </w:pPr>
    </w:p>
    <w:p w14:paraId="70ED75FF" w14:textId="7E6FB25F" w:rsidR="00D83480" w:rsidRDefault="006F4EC4" w:rsidP="0032208C">
      <w:pPr>
        <w:pStyle w:val="FRABodyText"/>
      </w:pPr>
      <w:r>
        <w:t>The</w:t>
      </w:r>
      <w:r w:rsidR="00690D19" w:rsidRPr="00690D19">
        <w:t xml:space="preserve"> </w:t>
      </w:r>
      <w:r w:rsidR="000375B6" w:rsidRPr="00690D19">
        <w:t xml:space="preserve">Alternative Report about </w:t>
      </w:r>
      <w:r w:rsidR="00D565E4">
        <w:t>the rights of persons with disabilities</w:t>
      </w:r>
      <w:r w:rsidR="00690D19">
        <w:t>,</w:t>
      </w:r>
      <w:r w:rsidR="00690D19">
        <w:rPr>
          <w:rStyle w:val="FootnoteReference"/>
        </w:rPr>
        <w:footnoteReference w:id="129"/>
      </w:r>
      <w:r w:rsidR="000375B6">
        <w:rPr>
          <w:b/>
        </w:rPr>
        <w:t xml:space="preserve"> </w:t>
      </w:r>
      <w:r w:rsidR="00690D19">
        <w:t xml:space="preserve">predating some important developments, such as the adoption of the Social Services Act and the Persons with Disabilities Act (see above), notes the prevalence of the </w:t>
      </w:r>
      <w:r w:rsidR="000375B6">
        <w:t>medical model in assessment of disabilities</w:t>
      </w:r>
      <w:r w:rsidR="00690D19">
        <w:t xml:space="preserve"> and criticises persons’ social assessment</w:t>
      </w:r>
      <w:r w:rsidR="000375B6">
        <w:t xml:space="preserve"> </w:t>
      </w:r>
      <w:r w:rsidR="000322CA">
        <w:t>for being bureaucratic, and services for not being individualised</w:t>
      </w:r>
      <w:r w:rsidR="000375B6">
        <w:t>. The inaccessibility of the public environment is pointed out</w:t>
      </w:r>
      <w:r w:rsidR="00690D19">
        <w:t>, with the lack of universal design</w:t>
      </w:r>
      <w:r w:rsidR="000375B6">
        <w:t>, as well as violation</w:t>
      </w:r>
      <w:r w:rsidR="000322CA">
        <w:t>s</w:t>
      </w:r>
      <w:r w:rsidR="000375B6">
        <w:t xml:space="preserve"> of the right to independent living</w:t>
      </w:r>
      <w:r w:rsidR="00690D19">
        <w:t xml:space="preserve"> and access to community-based services</w:t>
      </w:r>
      <w:r w:rsidR="000375B6">
        <w:t>. Access to quality and adapted education, healthcare, infrastructure, vocational training, employment</w:t>
      </w:r>
      <w:r w:rsidR="00690D19">
        <w:t>, etc.</w:t>
      </w:r>
      <w:r w:rsidR="000375B6">
        <w:t xml:space="preserve">, </w:t>
      </w:r>
      <w:r w:rsidR="00690D19">
        <w:t>is</w:t>
      </w:r>
      <w:r w:rsidR="000375B6">
        <w:t xml:space="preserve"> also analysed.</w:t>
      </w:r>
      <w:r w:rsidR="00690D19">
        <w:t xml:space="preserve"> </w:t>
      </w:r>
      <w:r w:rsidR="00D83480">
        <w:t>In addition, the report notes that p</w:t>
      </w:r>
      <w:r w:rsidR="00690D19">
        <w:t>eople with intellectual disabilities and psycho-social problems are often deprived of their legal capacity and placed under guardianship</w:t>
      </w:r>
      <w:r w:rsidR="00D83480">
        <w:t>, not receiving</w:t>
      </w:r>
      <w:r w:rsidR="00690D19">
        <w:t xml:space="preserve"> any support for decision making </w:t>
      </w:r>
      <w:r w:rsidR="00D83480">
        <w:t>or permission</w:t>
      </w:r>
      <w:r w:rsidR="00690D19">
        <w:t xml:space="preserve"> to enter into legal commitments. </w:t>
      </w:r>
      <w:r w:rsidR="006A49B4">
        <w:t xml:space="preserve">Thus, the report points as vulnerability factors both weaknesses in the procedure for assessing disability, and persons’ needs, lack of access to services, as well as, notably, the ‘invisible’ position of the people with intellectual disabilities and psycho-social impairments. </w:t>
      </w:r>
    </w:p>
    <w:p w14:paraId="329FD7B3" w14:textId="626C9F64" w:rsidR="000375B6" w:rsidRDefault="000375B6" w:rsidP="0032208C">
      <w:pPr>
        <w:pStyle w:val="FRABodyText"/>
      </w:pPr>
    </w:p>
    <w:p w14:paraId="61BBC20E" w14:textId="7FBD981C" w:rsidR="000375B6" w:rsidRDefault="006F4EC4" w:rsidP="0032208C">
      <w:pPr>
        <w:pStyle w:val="FRABodyText"/>
      </w:pPr>
      <w:r>
        <w:rPr>
          <w:lang w:val="en-US"/>
        </w:rPr>
        <w:t>T</w:t>
      </w:r>
      <w:r w:rsidR="000C6331">
        <w:rPr>
          <w:lang w:val="en-US"/>
        </w:rPr>
        <w:t xml:space="preserve">he annual action plan of the Agency for Persons with Disabilities </w:t>
      </w:r>
      <w:r w:rsidR="000C6331" w:rsidRPr="000C6331">
        <w:rPr>
          <w:i/>
          <w:lang w:val="en-US"/>
        </w:rPr>
        <w:t>(</w:t>
      </w:r>
      <w:r w:rsidR="000C6331" w:rsidRPr="000C6331">
        <w:rPr>
          <w:i/>
          <w:lang w:val="bg-BG"/>
        </w:rPr>
        <w:t>Агенция за хората с увреждания</w:t>
      </w:r>
      <w:r w:rsidR="000C6331">
        <w:rPr>
          <w:i/>
          <w:lang w:val="en-US"/>
        </w:rPr>
        <w:t xml:space="preserve">), </w:t>
      </w:r>
      <w:r w:rsidR="000C6331">
        <w:rPr>
          <w:lang w:val="en-US"/>
        </w:rPr>
        <w:t xml:space="preserve">which </w:t>
      </w:r>
      <w:r w:rsidR="000375B6">
        <w:rPr>
          <w:lang w:val="en-US"/>
        </w:rPr>
        <w:t xml:space="preserve">implements </w:t>
      </w:r>
      <w:r w:rsidR="000C6331">
        <w:rPr>
          <w:lang w:val="en-US"/>
        </w:rPr>
        <w:t>state policies</w:t>
      </w:r>
      <w:r w:rsidR="000375B6">
        <w:rPr>
          <w:lang w:val="en-US"/>
        </w:rPr>
        <w:t xml:space="preserve"> concerning the labor integration, rehabilitation, and social integration of persons with disabilities</w:t>
      </w:r>
      <w:r>
        <w:rPr>
          <w:lang w:val="en-US"/>
        </w:rPr>
        <w:t>,</w:t>
      </w:r>
      <w:r w:rsidR="000375B6">
        <w:rPr>
          <w:rStyle w:val="FootnoteReference"/>
          <w:sz w:val="24"/>
          <w:szCs w:val="24"/>
          <w:lang w:val="en-US"/>
        </w:rPr>
        <w:footnoteReference w:id="130"/>
      </w:r>
      <w:r w:rsidR="000375B6">
        <w:t xml:space="preserve"> </w:t>
      </w:r>
      <w:r w:rsidR="009C1B8F">
        <w:t xml:space="preserve">supplies data on </w:t>
      </w:r>
      <w:r w:rsidR="000375B6">
        <w:t>new workplaces opened for persons with disabilities,</w:t>
      </w:r>
      <w:r w:rsidR="009C1B8F">
        <w:t xml:space="preserve"> and the projects for self-employment of such persons</w:t>
      </w:r>
      <w:r w:rsidR="000375B6">
        <w:t xml:space="preserve"> for the year 2018. </w:t>
      </w:r>
      <w:r w:rsidR="009C1B8F">
        <w:t xml:space="preserve">It enlists activities under various programmes – for employment of persons with disabilities, for starting and development of independent economic activity by people with long-term disabilities, for stimulating the NGO sector to create conditions for social inclusion, for creating accessible environment, for creating centres for protected employment for people with multiple long-term disabilities, for maintenance and update of the information system on people with disabilities. </w:t>
      </w:r>
    </w:p>
    <w:p w14:paraId="016E7DF0" w14:textId="12BE2220" w:rsidR="000375B6" w:rsidRPr="006568BE" w:rsidRDefault="000375B6" w:rsidP="0032208C">
      <w:pPr>
        <w:pStyle w:val="FRABodyText"/>
      </w:pPr>
    </w:p>
    <w:p w14:paraId="2A38D103" w14:textId="41D38940" w:rsidR="000375B6" w:rsidRPr="006568BE" w:rsidRDefault="006E2F82" w:rsidP="0032208C">
      <w:pPr>
        <w:pStyle w:val="FRABodyText"/>
      </w:pPr>
      <w:r>
        <w:lastRenderedPageBreak/>
        <w:t>As regards financing, t</w:t>
      </w:r>
      <w:r w:rsidR="000375B6">
        <w:t xml:space="preserve">he </w:t>
      </w:r>
      <w:r w:rsidR="000375B6" w:rsidRPr="006E2F82">
        <w:t xml:space="preserve">National Strategy </w:t>
      </w:r>
      <w:r w:rsidRPr="006E2F82">
        <w:t xml:space="preserve">for Persons with Disabilities </w:t>
      </w:r>
      <w:r w:rsidR="000375B6">
        <w:t>is mainly funded by the state and municipal budgets.</w:t>
      </w:r>
      <w:r w:rsidR="000375B6">
        <w:rPr>
          <w:rStyle w:val="FootnoteReference"/>
          <w:sz w:val="24"/>
          <w:szCs w:val="24"/>
        </w:rPr>
        <w:footnoteReference w:id="131"/>
      </w:r>
      <w:r w:rsidR="000375B6">
        <w:t xml:space="preserve"> Additionally, the largest other source of funds is the European Union through some of its respective Operational Programmes. </w:t>
      </w:r>
    </w:p>
    <w:p w14:paraId="258DDF39" w14:textId="77777777" w:rsidR="000375B6" w:rsidRPr="006568BE" w:rsidRDefault="000375B6" w:rsidP="0032208C">
      <w:pPr>
        <w:pStyle w:val="FRANormal"/>
        <w:spacing w:after="0" w:line="360" w:lineRule="auto"/>
        <w:ind w:left="714"/>
        <w:rPr>
          <w:rFonts w:ascii="Times New Roman" w:hAnsi="Times New Roman"/>
          <w:sz w:val="24"/>
          <w:szCs w:val="24"/>
        </w:rPr>
      </w:pPr>
    </w:p>
    <w:p w14:paraId="731BA802" w14:textId="77777777" w:rsidR="00F106E0" w:rsidRDefault="00F106E0" w:rsidP="008E576F">
      <w:pPr>
        <w:numPr>
          <w:ilvl w:val="0"/>
          <w:numId w:val="6"/>
        </w:numPr>
        <w:spacing w:line="276" w:lineRule="auto"/>
        <w:rPr>
          <w:b/>
        </w:rPr>
      </w:pPr>
      <w:r w:rsidRPr="00F106E0">
        <w:rPr>
          <w:b/>
        </w:rPr>
        <w:t>Very Young Persons (15-29 y.o.)</w:t>
      </w:r>
    </w:p>
    <w:p w14:paraId="7EDD3CE7" w14:textId="493263E3" w:rsidR="00611962" w:rsidRDefault="000428A4" w:rsidP="0032208C">
      <w:pPr>
        <w:pStyle w:val="FRABodyText"/>
        <w:rPr>
          <w:lang w:val="en-US"/>
        </w:rPr>
      </w:pPr>
      <w:r w:rsidRPr="00A705BE">
        <w:t xml:space="preserve">The </w:t>
      </w:r>
      <w:r>
        <w:t>2012-2020 youth strategy</w:t>
      </w:r>
      <w:r w:rsidRPr="000428A4">
        <w:rPr>
          <w:rStyle w:val="FootnoteReference"/>
        </w:rPr>
        <w:footnoteReference w:id="132"/>
      </w:r>
      <w:r w:rsidR="009A559F">
        <w:rPr>
          <w:lang w:val="en-US"/>
        </w:rPr>
        <w:t xml:space="preserve"> points to the negative demographic tendencies, related to emigration, </w:t>
      </w:r>
      <w:r w:rsidR="00595BA4">
        <w:rPr>
          <w:lang w:val="en-US"/>
        </w:rPr>
        <w:t xml:space="preserve">to </w:t>
      </w:r>
      <w:r w:rsidR="006D5FDF">
        <w:rPr>
          <w:lang w:val="en-US"/>
        </w:rPr>
        <w:t xml:space="preserve">school drop-out, </w:t>
      </w:r>
      <w:r w:rsidR="00595BA4">
        <w:rPr>
          <w:lang w:val="en-US"/>
        </w:rPr>
        <w:t xml:space="preserve">to </w:t>
      </w:r>
      <w:r w:rsidR="006D5FDF">
        <w:rPr>
          <w:lang w:val="en-US"/>
        </w:rPr>
        <w:t xml:space="preserve">high unemployment especially among those of low education level, </w:t>
      </w:r>
      <w:r w:rsidR="00595BA4">
        <w:rPr>
          <w:lang w:val="en-US"/>
        </w:rPr>
        <w:t xml:space="preserve">to </w:t>
      </w:r>
      <w:r w:rsidR="006D5FDF">
        <w:rPr>
          <w:lang w:val="en-US"/>
        </w:rPr>
        <w:t xml:space="preserve">extremely low levels of self-employment and entrepreneurship, low level of reach of youth services, especially among young Roma and youth in smaller territorial establishments, health challenges like cigarette, alcohol and drug consumption, </w:t>
      </w:r>
      <w:r w:rsidR="00611962">
        <w:rPr>
          <w:lang w:val="en-US"/>
        </w:rPr>
        <w:t xml:space="preserve">youth criminality. Young people in small territorial establishments and rural areas are pointed to as especially vulnerable. </w:t>
      </w:r>
    </w:p>
    <w:p w14:paraId="40FA62A2" w14:textId="77777777" w:rsidR="00611962" w:rsidRDefault="00611962" w:rsidP="0032208C">
      <w:pPr>
        <w:pStyle w:val="FRABodyText"/>
        <w:rPr>
          <w:lang w:val="en-US"/>
        </w:rPr>
      </w:pPr>
    </w:p>
    <w:p w14:paraId="429DF865" w14:textId="4D7C20F1" w:rsidR="00ED40C4" w:rsidRPr="00ED40C4" w:rsidRDefault="00611962" w:rsidP="0032208C">
      <w:pPr>
        <w:pStyle w:val="FRABodyText"/>
        <w:rPr>
          <w:lang w:val="en-US"/>
        </w:rPr>
      </w:pPr>
      <w:r>
        <w:rPr>
          <w:lang w:val="en-US"/>
        </w:rPr>
        <w:t xml:space="preserve">The themes from the Strategy are further elaborated </w:t>
      </w:r>
      <w:r w:rsidR="00E61CB8">
        <w:rPr>
          <w:lang w:val="en-US"/>
        </w:rPr>
        <w:t xml:space="preserve">in documents like the </w:t>
      </w:r>
      <w:r w:rsidR="00E61CB8">
        <w:t>National Youth Programme 2016-2020</w:t>
      </w:r>
      <w:r w:rsidR="00A74B20">
        <w:t xml:space="preserve"> </w:t>
      </w:r>
      <w:r w:rsidR="00E61CB8" w:rsidRPr="00E61CB8">
        <w:rPr>
          <w:i/>
        </w:rPr>
        <w:t>(</w:t>
      </w:r>
      <w:r w:rsidR="00A74B20" w:rsidRPr="00E61CB8">
        <w:rPr>
          <w:i/>
        </w:rPr>
        <w:t>Национална програма за младежта 2016-2020</w:t>
      </w:r>
      <w:r w:rsidR="00E61CB8" w:rsidRPr="00E61CB8">
        <w:rPr>
          <w:i/>
        </w:rPr>
        <w:t>)</w:t>
      </w:r>
      <w:r w:rsidR="00C4004D">
        <w:rPr>
          <w:rStyle w:val="FootnoteReference"/>
          <w:i/>
        </w:rPr>
        <w:footnoteReference w:id="133"/>
      </w:r>
      <w:r w:rsidR="00E61CB8">
        <w:t xml:space="preserve"> and the National Youth Report </w:t>
      </w:r>
      <w:r w:rsidR="00E61CB8" w:rsidRPr="00E61CB8">
        <w:rPr>
          <w:i/>
        </w:rPr>
        <w:t>(</w:t>
      </w:r>
      <w:r w:rsidR="005471BC">
        <w:rPr>
          <w:i/>
          <w:lang w:val="bg-BG"/>
        </w:rPr>
        <w:t>д</w:t>
      </w:r>
      <w:r w:rsidR="00E61CB8" w:rsidRPr="00E61CB8">
        <w:rPr>
          <w:i/>
          <w:lang w:val="bg-BG"/>
        </w:rPr>
        <w:t>оклад за младежта</w:t>
      </w:r>
      <w:r w:rsidR="00E61CB8" w:rsidRPr="00E61CB8">
        <w:rPr>
          <w:i/>
        </w:rPr>
        <w:t>)</w:t>
      </w:r>
      <w:r w:rsidR="0024207A">
        <w:t>,</w:t>
      </w:r>
      <w:r w:rsidR="00C4004D">
        <w:rPr>
          <w:rStyle w:val="FootnoteReference"/>
        </w:rPr>
        <w:footnoteReference w:id="134"/>
      </w:r>
      <w:r w:rsidR="0024207A">
        <w:t xml:space="preserve"> which emphasise again on education, employment and health risks as main vulnerability factors.</w:t>
      </w:r>
      <w:r w:rsidR="00E61CB8">
        <w:rPr>
          <w:lang w:val="bg-BG"/>
        </w:rPr>
        <w:t xml:space="preserve"> </w:t>
      </w:r>
      <w:r w:rsidR="005471BC">
        <w:rPr>
          <w:lang w:val="en-US"/>
        </w:rPr>
        <w:t xml:space="preserve">The Programme puts among its strategic goals facilitating the access to quality services </w:t>
      </w:r>
      <w:r w:rsidR="009D0BAF">
        <w:rPr>
          <w:lang w:val="en-US"/>
        </w:rPr>
        <w:t>for personal and social development of the youth, promoting healthy lifestyle</w:t>
      </w:r>
      <w:r w:rsidR="00595BA4">
        <w:rPr>
          <w:lang w:val="en-US"/>
        </w:rPr>
        <w:t>s, creating</w:t>
      </w:r>
      <w:r w:rsidR="009D0BAF">
        <w:rPr>
          <w:lang w:val="en-US"/>
        </w:rPr>
        <w:t xml:space="preserve"> an attractive environment in small territorial establishments and rural areas</w:t>
      </w:r>
      <w:r w:rsidR="00595BA4">
        <w:rPr>
          <w:lang w:val="en-US"/>
        </w:rPr>
        <w:t xml:space="preserve"> </w:t>
      </w:r>
      <w:r w:rsidR="009D0BAF">
        <w:rPr>
          <w:lang w:val="en-US"/>
        </w:rPr>
        <w:t>and a beneficial environment for quality professional reali</w:t>
      </w:r>
      <w:r w:rsidR="00595BA4">
        <w:rPr>
          <w:lang w:val="en-US"/>
        </w:rPr>
        <w:t>s</w:t>
      </w:r>
      <w:r w:rsidR="009D0BAF">
        <w:rPr>
          <w:lang w:val="en-US"/>
        </w:rPr>
        <w:t>ation. The 2017 youth report contains a specific chapter on NEETs</w:t>
      </w:r>
      <w:r w:rsidR="00765600">
        <w:rPr>
          <w:lang w:val="en-US"/>
        </w:rPr>
        <w:t xml:space="preserve">, who, although relatively low in percentage, show distinct characteristics: leaving school as a result of various objective factors, looking for jobs but not finding such (especially in smaller territorial establishments and rural areas), lack of registration in the labour bureaus and looking for jobs in informal ways. </w:t>
      </w:r>
      <w:r w:rsidR="00ED40C4">
        <w:rPr>
          <w:lang w:val="en-US"/>
        </w:rPr>
        <w:t>Regional and municipal youth plans are also developed, in accordance with the youth legislation.</w:t>
      </w:r>
      <w:r w:rsidR="00ED40C4">
        <w:rPr>
          <w:rStyle w:val="FootnoteReference"/>
          <w:lang w:val="en-US"/>
        </w:rPr>
        <w:footnoteReference w:id="135"/>
      </w:r>
    </w:p>
    <w:p w14:paraId="13C7A094" w14:textId="77777777" w:rsidR="00ED40C4" w:rsidRDefault="00ED40C4" w:rsidP="0032208C">
      <w:pPr>
        <w:pStyle w:val="FRABodyText"/>
        <w:rPr>
          <w:lang w:val="en-US"/>
        </w:rPr>
      </w:pPr>
    </w:p>
    <w:p w14:paraId="09DA4B56" w14:textId="414F2191" w:rsidR="00462D3C" w:rsidRDefault="00462D3C" w:rsidP="0032208C">
      <w:pPr>
        <w:pStyle w:val="FRABodyText"/>
      </w:pPr>
      <w:r>
        <w:rPr>
          <w:lang w:val="en-US"/>
        </w:rPr>
        <w:lastRenderedPageBreak/>
        <w:t xml:space="preserve">The </w:t>
      </w:r>
      <w:r>
        <w:t>national implementation plan for European Youth Guarantee 2014-2020</w:t>
      </w:r>
      <w:r w:rsidRPr="00462D3C">
        <w:rPr>
          <w:rStyle w:val="FootnoteReference"/>
        </w:rPr>
        <w:footnoteReference w:id="136"/>
      </w:r>
      <w:r>
        <w:t xml:space="preserve"> elaborates on the National Youth Guarantee of Bulgaria which provides that any young person aged 15 to 24 years will receive a good quality job offer, further education, traineeship or apprenticeship within 4 months after they become unemployed or leave the formal education system. Young people not in employment or education, and not registered in labour offices </w:t>
      </w:r>
      <w:r w:rsidR="00475E2B">
        <w:t>are to</w:t>
      </w:r>
      <w:r>
        <w:t xml:space="preserve"> be informed about the potential services that can be used after registration at the labour offices.</w:t>
      </w:r>
      <w:r w:rsidR="00475E2B">
        <w:t xml:space="preserve"> Labour intermediaries, in</w:t>
      </w:r>
      <w:r>
        <w:t xml:space="preserve">cl. Roma mediators, working in labor offices will focus their activities on youths from Roma minority. </w:t>
      </w:r>
    </w:p>
    <w:p w14:paraId="721FA288" w14:textId="77777777" w:rsidR="00475E2B" w:rsidRDefault="00475E2B" w:rsidP="0032208C">
      <w:pPr>
        <w:pStyle w:val="FRABodyText"/>
      </w:pPr>
    </w:p>
    <w:p w14:paraId="2F07911B" w14:textId="6AB7A70E" w:rsidR="00E518E3" w:rsidRDefault="005328C9" w:rsidP="0032208C">
      <w:pPr>
        <w:pStyle w:val="FRABodyText"/>
        <w:rPr>
          <w:lang w:val="en-US"/>
        </w:rPr>
      </w:pPr>
      <w:r>
        <w:rPr>
          <w:lang w:val="en-US"/>
        </w:rPr>
        <w:t>Specific y</w:t>
      </w:r>
      <w:r w:rsidR="0024207A">
        <w:rPr>
          <w:lang w:val="en-US"/>
        </w:rPr>
        <w:t xml:space="preserve">outh’s vulnerabilities are explored </w:t>
      </w:r>
      <w:r>
        <w:rPr>
          <w:lang w:val="en-US"/>
        </w:rPr>
        <w:t>in a number of mainstream policy documents. The national anti-poverty and social inclusion strategy</w:t>
      </w:r>
      <w:r>
        <w:rPr>
          <w:rStyle w:val="FootnoteReference"/>
          <w:lang w:val="en-US"/>
        </w:rPr>
        <w:footnoteReference w:id="137"/>
      </w:r>
      <w:r>
        <w:rPr>
          <w:lang w:val="en-US"/>
        </w:rPr>
        <w:t xml:space="preserve"> mentions the raising levels of youth unemployment, </w:t>
      </w:r>
      <w:r w:rsidR="00BE6821">
        <w:rPr>
          <w:lang w:val="en-US"/>
        </w:rPr>
        <w:t>and the related priority of active labour market inclusion, especially for y</w:t>
      </w:r>
      <w:r w:rsidR="00BE6821">
        <w:t xml:space="preserve">ouths with no profession, youths who completed their education but have no professional experience, early dropouts from the education system, youths with disabilities, youths with low </w:t>
      </w:r>
      <w:r w:rsidR="005A73B5">
        <w:t xml:space="preserve">or no </w:t>
      </w:r>
      <w:r w:rsidR="00BE6821">
        <w:t>education level, youths in small settlements and in rural areas</w:t>
      </w:r>
      <w:r w:rsidR="005A73B5">
        <w:t xml:space="preserve">, </w:t>
      </w:r>
      <w:r w:rsidR="00BA203F">
        <w:t xml:space="preserve">youth, leaving institutions and transitioning to independent life. </w:t>
      </w:r>
      <w:r w:rsidR="00FF2279">
        <w:t>The updated national demographic strategy 2012-2030</w:t>
      </w:r>
      <w:r w:rsidR="00FF2279">
        <w:rPr>
          <w:rStyle w:val="FootnoteReference"/>
        </w:rPr>
        <w:footnoteReference w:id="138"/>
      </w:r>
      <w:r w:rsidR="00FF2279">
        <w:rPr>
          <w:lang w:val="bg-BG"/>
        </w:rPr>
        <w:t xml:space="preserve"> </w:t>
      </w:r>
      <w:r w:rsidR="00FF2279">
        <w:rPr>
          <w:lang w:val="en-US"/>
        </w:rPr>
        <w:t>talks about reducing youth unemployment</w:t>
      </w:r>
      <w:r w:rsidR="00E70AA2">
        <w:rPr>
          <w:lang w:val="en-US"/>
        </w:rPr>
        <w:t>, especially among youth with disabilities,</w:t>
      </w:r>
      <w:r w:rsidR="00FF2279">
        <w:rPr>
          <w:lang w:val="en-US"/>
        </w:rPr>
        <w:t xml:space="preserve"> and equal access to quality education as factors to reduce youth (in reproductive age) emigration. </w:t>
      </w:r>
      <w:r w:rsidR="00E70AA2">
        <w:rPr>
          <w:lang w:val="en-US"/>
        </w:rPr>
        <w:t xml:space="preserve">Other factors mentioned are ensuring transition from education to employment without a buffer period, improving employment conditions and workpay, opening possibilities for bank loans for homes, overcoming poverty and social isolation among disadvantaged youth. </w:t>
      </w:r>
      <w:r w:rsidR="00E518E3">
        <w:rPr>
          <w:lang w:val="en-US"/>
        </w:rPr>
        <w:t>The strategy is operationali</w:t>
      </w:r>
      <w:r w:rsidR="00595BA4">
        <w:rPr>
          <w:lang w:val="en-US"/>
        </w:rPr>
        <w:t>s</w:t>
      </w:r>
      <w:r w:rsidR="00E518E3">
        <w:rPr>
          <w:lang w:val="en-US"/>
        </w:rPr>
        <w:t xml:space="preserve">ed in annual action plans. </w:t>
      </w:r>
    </w:p>
    <w:p w14:paraId="156F9CF2" w14:textId="77777777" w:rsidR="00E02B8C" w:rsidRDefault="00E518E3" w:rsidP="0032208C">
      <w:r>
        <w:t>Special attention should be paid to cross-points with children’s strategic documents. The National Strategy for the Child (2008-2018) (</w:t>
      </w:r>
      <w:r>
        <w:rPr>
          <w:i/>
          <w:lang w:val="bg-BG"/>
        </w:rPr>
        <w:t>Национална стратегия за детето (2008-2018)</w:t>
      </w:r>
      <w:r>
        <w:rPr>
          <w:lang w:val="bg-BG"/>
        </w:rPr>
        <w:t>)</w:t>
      </w:r>
      <w:r>
        <w:rPr>
          <w:rStyle w:val="FootnoteReference"/>
        </w:rPr>
        <w:footnoteReference w:id="139"/>
      </w:r>
      <w:r>
        <w:t xml:space="preserve"> </w:t>
      </w:r>
      <w:r w:rsidR="00A12B6D">
        <w:t>mentions, among those, youth criminality</w:t>
      </w:r>
      <w:r w:rsidR="00E02B8C">
        <w:t xml:space="preserve"> and participation of youth in government. </w:t>
      </w:r>
    </w:p>
    <w:p w14:paraId="5F4CA479" w14:textId="77777777" w:rsidR="00475E2B" w:rsidRDefault="00475E2B" w:rsidP="0032208C">
      <w:pPr>
        <w:pStyle w:val="FRABodyText"/>
      </w:pPr>
    </w:p>
    <w:p w14:paraId="2E296ED5" w14:textId="21D37597" w:rsidR="004A01AA" w:rsidRPr="004A01AA" w:rsidRDefault="00475E2B" w:rsidP="0032208C">
      <w:pPr>
        <w:pStyle w:val="FRABodyText"/>
        <w:rPr>
          <w:lang w:val="en-US"/>
        </w:rPr>
      </w:pPr>
      <w:r>
        <w:t xml:space="preserve">Other mainstream strategic documents concerned with youth </w:t>
      </w:r>
      <w:r w:rsidR="00322E3E">
        <w:t>include</w:t>
      </w:r>
      <w:r>
        <w:t xml:space="preserve"> </w:t>
      </w:r>
      <w:r w:rsidR="00322E3E">
        <w:t>the national strategy for life-long learning,</w:t>
      </w:r>
      <w:r w:rsidR="00322E3E">
        <w:rPr>
          <w:rStyle w:val="FootnoteReference"/>
        </w:rPr>
        <w:footnoteReference w:id="140"/>
      </w:r>
      <w:r w:rsidR="00322E3E">
        <w:t xml:space="preserve"> operationalised in annual action plans, which elaborates in detail on formal and non-formal learning, the strategy for school drop-outs (see the section on Roma) and the national programme on the activation of the inactive persons.</w:t>
      </w:r>
      <w:r w:rsidR="00AB7881">
        <w:rPr>
          <w:rStyle w:val="FootnoteReference"/>
        </w:rPr>
        <w:footnoteReference w:id="141"/>
      </w:r>
      <w:r w:rsidR="004A01AA">
        <w:rPr>
          <w:lang w:val="bg-BG"/>
        </w:rPr>
        <w:t xml:space="preserve"> </w:t>
      </w:r>
      <w:r w:rsidR="004A01AA">
        <w:rPr>
          <w:lang w:val="en-US"/>
        </w:rPr>
        <w:t>The latter talks about de-</w:t>
      </w:r>
      <w:r w:rsidR="004A01AA">
        <w:rPr>
          <w:lang w:val="en-US"/>
        </w:rPr>
        <w:lastRenderedPageBreak/>
        <w:t xml:space="preserve">motivated unemployed youth of low education and work experience, which, however, is not a homogenous group. Youth labour mediators are proposed for better contact with such groups. </w:t>
      </w:r>
    </w:p>
    <w:p w14:paraId="662055C4" w14:textId="068DAEB5" w:rsidR="00475E2B" w:rsidRDefault="00322E3E" w:rsidP="0032208C">
      <w:pPr>
        <w:pStyle w:val="FRABodyText"/>
      </w:pPr>
      <w:r>
        <w:t xml:space="preserve"> </w:t>
      </w:r>
      <w:r w:rsidR="00A74B20">
        <w:tab/>
      </w:r>
      <w:r w:rsidR="00A74B20">
        <w:tab/>
      </w:r>
      <w:r w:rsidR="00A74B20">
        <w:tab/>
      </w:r>
    </w:p>
    <w:p w14:paraId="0E1C311C" w14:textId="2EE2B7A0" w:rsidR="00475E2B" w:rsidRDefault="00475E2B" w:rsidP="0032208C">
      <w:pPr>
        <w:pStyle w:val="FRABodyText"/>
      </w:pPr>
      <w:r>
        <w:t>Regarding financing, the implementation of the National Youth Guarantee</w:t>
      </w:r>
      <w:r w:rsidRPr="00462D3C">
        <w:rPr>
          <w:rStyle w:val="FootnoteReference"/>
        </w:rPr>
        <w:footnoteReference w:id="142"/>
      </w:r>
      <w:r>
        <w:t xml:space="preserve"> w</w:t>
      </w:r>
      <w:r w:rsidR="00595BA4">
        <w:t>as</w:t>
      </w:r>
      <w:r>
        <w:t xml:space="preserve"> launched in 2014 with measures and programmes funded by the state budget. By 2020, activities will be financed by the state budget and with EU funds in accordance with the national action plans for employment for the respective year.</w:t>
      </w:r>
    </w:p>
    <w:p w14:paraId="61C7F689" w14:textId="6A94B63E" w:rsidR="00475E2B" w:rsidRDefault="00475E2B" w:rsidP="0032208C">
      <w:pPr>
        <w:pStyle w:val="FRABodyText"/>
      </w:pPr>
      <w:r>
        <w:t xml:space="preserve"> </w:t>
      </w:r>
    </w:p>
    <w:p w14:paraId="07C4D18F" w14:textId="77777777" w:rsidR="00F106E0" w:rsidRDefault="00F106E0" w:rsidP="008E576F">
      <w:pPr>
        <w:numPr>
          <w:ilvl w:val="0"/>
          <w:numId w:val="6"/>
        </w:numPr>
        <w:spacing w:line="276" w:lineRule="auto"/>
        <w:rPr>
          <w:b/>
        </w:rPr>
      </w:pPr>
      <w:r w:rsidRPr="00F106E0">
        <w:rPr>
          <w:b/>
        </w:rPr>
        <w:t>Older Persons (&gt;55 y.o.)</w:t>
      </w:r>
    </w:p>
    <w:p w14:paraId="4B630745" w14:textId="635C8428" w:rsidR="009C28A5" w:rsidRPr="002E46A0" w:rsidRDefault="009C28A5" w:rsidP="004A4056">
      <w:pPr>
        <w:pStyle w:val="FRABodyText"/>
      </w:pPr>
      <w:r w:rsidRPr="001923B0">
        <w:t>Bulgarian policy framework address</w:t>
      </w:r>
      <w:r>
        <w:t>es</w:t>
      </w:r>
      <w:r w:rsidRPr="001923B0">
        <w:t xml:space="preserve"> </w:t>
      </w:r>
      <w:r w:rsidR="0084167F">
        <w:rPr>
          <w:lang w:val="en-US"/>
        </w:rPr>
        <w:t>older persons</w:t>
      </w:r>
      <w:r w:rsidRPr="001923B0">
        <w:t xml:space="preserve"> follow</w:t>
      </w:r>
      <w:r>
        <w:t>ing</w:t>
      </w:r>
      <w:r w:rsidRPr="001923B0">
        <w:t xml:space="preserve"> the main lines of action contained in the relevant international and EU policy documents</w:t>
      </w:r>
      <w:r w:rsidR="0079628A">
        <w:t>.</w:t>
      </w:r>
      <w:r w:rsidR="0079628A">
        <w:rPr>
          <w:rStyle w:val="FootnoteReference"/>
        </w:rPr>
        <w:footnoteReference w:id="143"/>
      </w:r>
      <w:r w:rsidRPr="001923B0">
        <w:t xml:space="preserve"> </w:t>
      </w:r>
    </w:p>
    <w:p w14:paraId="311ABC5B" w14:textId="77777777" w:rsidR="009C28A5" w:rsidRDefault="009C28A5" w:rsidP="004A4056">
      <w:pPr>
        <w:pStyle w:val="FRABodyText"/>
        <w:rPr>
          <w:rStyle w:val="tlid-translation"/>
          <w:lang w:val="bg-BG"/>
        </w:rPr>
      </w:pPr>
    </w:p>
    <w:p w14:paraId="6EAD4D9C" w14:textId="1558A683" w:rsidR="009C28A5" w:rsidRDefault="009C28A5" w:rsidP="004A4056">
      <w:pPr>
        <w:pStyle w:val="FRABodyText"/>
        <w:rPr>
          <w:rStyle w:val="tlid-translation"/>
          <w:lang w:val="bg-BG"/>
        </w:rPr>
      </w:pPr>
      <w:r w:rsidRPr="00C13CBA">
        <w:rPr>
          <w:rStyle w:val="tlid-translation"/>
        </w:rPr>
        <w:t xml:space="preserve">The National </w:t>
      </w:r>
      <w:r w:rsidR="00D229DD">
        <w:rPr>
          <w:rStyle w:val="tlid-translation"/>
        </w:rPr>
        <w:t>S</w:t>
      </w:r>
      <w:r w:rsidRPr="00C13CBA">
        <w:rPr>
          <w:rStyle w:val="tlid-translation"/>
        </w:rPr>
        <w:t xml:space="preserve">trategy for </w:t>
      </w:r>
      <w:r w:rsidRPr="007505B8">
        <w:rPr>
          <w:rStyle w:val="tlid-translation"/>
          <w:lang w:val="bg-BG"/>
        </w:rPr>
        <w:t>Active Ageing in Bulgaria</w:t>
      </w:r>
      <w:r w:rsidRPr="00C13CBA">
        <w:rPr>
          <w:rStyle w:val="tlid-translation"/>
          <w:lang w:val="bg-BG"/>
        </w:rPr>
        <w:t xml:space="preserve"> 2019-2030</w:t>
      </w:r>
      <w:r w:rsidRPr="00C13CBA">
        <w:rPr>
          <w:rStyle w:val="tlid-translation"/>
        </w:rPr>
        <w:t xml:space="preserve"> (</w:t>
      </w:r>
      <w:r w:rsidRPr="005508A5">
        <w:rPr>
          <w:rStyle w:val="tlid-translation"/>
          <w:i/>
          <w:lang w:val="bg-BG"/>
        </w:rPr>
        <w:t>Национална стратегия за активен живот на възрастните</w:t>
      </w:r>
      <w:r w:rsidRPr="00C13CBA">
        <w:rPr>
          <w:rStyle w:val="tlid-translation"/>
          <w:lang w:val="bg-BG"/>
        </w:rPr>
        <w:t xml:space="preserve"> </w:t>
      </w:r>
      <w:r w:rsidRPr="005508A5">
        <w:rPr>
          <w:rStyle w:val="tlid-translation"/>
          <w:i/>
          <w:lang w:val="bg-BG"/>
        </w:rPr>
        <w:t>хора в България 2019-2030</w:t>
      </w:r>
      <w:r w:rsidRPr="00C13CBA">
        <w:rPr>
          <w:rStyle w:val="tlid-translation"/>
        </w:rPr>
        <w:t>)</w:t>
      </w:r>
      <w:r>
        <w:rPr>
          <w:rStyle w:val="FootnoteReference"/>
        </w:rPr>
        <w:footnoteReference w:id="144"/>
      </w:r>
      <w:r>
        <w:rPr>
          <w:rStyle w:val="tlid-translation"/>
        </w:rPr>
        <w:t xml:space="preserve"> aims at </w:t>
      </w:r>
      <w:r w:rsidRPr="00C13CBA">
        <w:rPr>
          <w:rStyle w:val="tlid-translation"/>
        </w:rPr>
        <w:t>guarantee</w:t>
      </w:r>
      <w:r>
        <w:rPr>
          <w:rStyle w:val="tlid-translation"/>
        </w:rPr>
        <w:t xml:space="preserve">ing </w:t>
      </w:r>
      <w:r w:rsidRPr="00C13CBA">
        <w:rPr>
          <w:rStyle w:val="tlid-translation"/>
        </w:rPr>
        <w:t>equal opportunities for a decent and fulfilling life for the elderly</w:t>
      </w:r>
      <w:r w:rsidR="00665E64">
        <w:rPr>
          <w:rStyle w:val="tlid-translation"/>
        </w:rPr>
        <w:t>,</w:t>
      </w:r>
      <w:r w:rsidR="00E91C46">
        <w:rPr>
          <w:rStyle w:val="tlid-translation"/>
        </w:rPr>
        <w:t xml:space="preserve"> </w:t>
      </w:r>
      <w:r w:rsidRPr="00C13CBA">
        <w:rPr>
          <w:rStyle w:val="tlid-translation"/>
          <w:lang w:val="en"/>
        </w:rPr>
        <w:t>based on values such</w:t>
      </w:r>
      <w:r>
        <w:rPr>
          <w:rStyle w:val="tlid-translation"/>
          <w:lang w:val="en"/>
        </w:rPr>
        <w:t xml:space="preserve"> </w:t>
      </w:r>
      <w:r w:rsidRPr="00C13CBA">
        <w:rPr>
          <w:rStyle w:val="tlid-translation"/>
          <w:lang w:val="en"/>
        </w:rPr>
        <w:t>as independent living, participation in society, access to care and dignity</w:t>
      </w:r>
      <w:r>
        <w:rPr>
          <w:rStyle w:val="tlid-translation"/>
          <w:lang w:val="en"/>
        </w:rPr>
        <w:t>. Among</w:t>
      </w:r>
      <w:r w:rsidR="00E91C46">
        <w:rPr>
          <w:rStyle w:val="tlid-translation"/>
          <w:lang w:val="en"/>
        </w:rPr>
        <w:t xml:space="preserve"> </w:t>
      </w:r>
      <w:r>
        <w:rPr>
          <w:rStyle w:val="tlid-translation"/>
          <w:lang w:val="en"/>
        </w:rPr>
        <w:t xml:space="preserve">its main principles </w:t>
      </w:r>
      <w:r w:rsidR="00665E64">
        <w:rPr>
          <w:rStyle w:val="tlid-translation"/>
          <w:lang w:val="en"/>
        </w:rPr>
        <w:t>are</w:t>
      </w:r>
      <w:r>
        <w:rPr>
          <w:rStyle w:val="tlid-translation"/>
          <w:lang w:val="en"/>
        </w:rPr>
        <w:t xml:space="preserve"> m</w:t>
      </w:r>
      <w:r w:rsidRPr="00B6494D">
        <w:rPr>
          <w:rStyle w:val="tlid-translation"/>
          <w:lang w:val="en"/>
        </w:rPr>
        <w:t>ainstreaming ag</w:t>
      </w:r>
      <w:r w:rsidR="00E91C46">
        <w:rPr>
          <w:rStyle w:val="tlid-translation"/>
          <w:lang w:val="en"/>
        </w:rPr>
        <w:t>e</w:t>
      </w:r>
      <w:r w:rsidRPr="00B6494D">
        <w:rPr>
          <w:rStyle w:val="tlid-translation"/>
          <w:lang w:val="en"/>
        </w:rPr>
        <w:t>ing; promoting the participation of the elderly, their associations and orga</w:t>
      </w:r>
      <w:r w:rsidR="00E91C46">
        <w:rPr>
          <w:rStyle w:val="tlid-translation"/>
          <w:lang w:val="en"/>
        </w:rPr>
        <w:t>nis</w:t>
      </w:r>
      <w:r w:rsidRPr="00B6494D">
        <w:rPr>
          <w:rStyle w:val="tlid-translation"/>
          <w:lang w:val="en"/>
        </w:rPr>
        <w:t xml:space="preserve">ations in defining </w:t>
      </w:r>
      <w:r w:rsidR="00E91C46" w:rsidRPr="00B6494D">
        <w:rPr>
          <w:rStyle w:val="tlid-translation"/>
          <w:lang w:val="en"/>
        </w:rPr>
        <w:t xml:space="preserve">active life </w:t>
      </w:r>
      <w:r w:rsidRPr="00B6494D">
        <w:rPr>
          <w:rStyle w:val="tlid-translation"/>
          <w:lang w:val="en"/>
        </w:rPr>
        <w:t>measures and program</w:t>
      </w:r>
      <w:r w:rsidR="00E91C46">
        <w:rPr>
          <w:rStyle w:val="tlid-translation"/>
          <w:lang w:val="en"/>
        </w:rPr>
        <w:t>me</w:t>
      </w:r>
      <w:r w:rsidRPr="00B6494D">
        <w:rPr>
          <w:rStyle w:val="tlid-translation"/>
          <w:lang w:val="en"/>
        </w:rPr>
        <w:t>s</w:t>
      </w:r>
      <w:r>
        <w:rPr>
          <w:rStyle w:val="tlid-translation"/>
          <w:lang w:val="en"/>
        </w:rPr>
        <w:t>. Its</w:t>
      </w:r>
      <w:r w:rsidRPr="00B6494D">
        <w:rPr>
          <w:rStyle w:val="tlid-translation"/>
          <w:lang w:val="en"/>
        </w:rPr>
        <w:t xml:space="preserve"> strategic objective</w:t>
      </w:r>
      <w:r w:rsidR="00D85222">
        <w:rPr>
          <w:rStyle w:val="tlid-translation"/>
          <w:lang w:val="en"/>
        </w:rPr>
        <w:t>,</w:t>
      </w:r>
      <w:r>
        <w:rPr>
          <w:rStyle w:val="tlid-translation"/>
          <w:lang w:val="en"/>
        </w:rPr>
        <w:t xml:space="preserve"> to </w:t>
      </w:r>
      <w:r w:rsidRPr="00B6494D">
        <w:rPr>
          <w:rStyle w:val="tlid-translation"/>
          <w:lang w:val="en"/>
        </w:rPr>
        <w:t>creat</w:t>
      </w:r>
      <w:r>
        <w:rPr>
          <w:rStyle w:val="tlid-translation"/>
          <w:lang w:val="en"/>
        </w:rPr>
        <w:t xml:space="preserve">e </w:t>
      </w:r>
      <w:r w:rsidRPr="00B6494D">
        <w:rPr>
          <w:rStyle w:val="tlid-translation"/>
          <w:lang w:val="en"/>
        </w:rPr>
        <w:t>conditions for an active and dignified life of the elderly by ensuring equal opportunities for their full participation in the economic and social life of society</w:t>
      </w:r>
      <w:r w:rsidR="00D85222">
        <w:rPr>
          <w:rStyle w:val="tlid-translation"/>
          <w:lang w:val="en"/>
        </w:rPr>
        <w:t>,</w:t>
      </w:r>
      <w:r w:rsidRPr="00B6494D">
        <w:rPr>
          <w:rStyle w:val="tlid-translation"/>
          <w:lang w:val="en"/>
        </w:rPr>
        <w:t xml:space="preserve"> is set out in four priorities</w:t>
      </w:r>
      <w:r w:rsidR="00D85222">
        <w:rPr>
          <w:rStyle w:val="tlid-translation"/>
          <w:lang w:val="en"/>
        </w:rPr>
        <w:t>, related to employment, community participation, independent living and capacity and supportive environment</w:t>
      </w:r>
      <w:r w:rsidR="0079628A">
        <w:rPr>
          <w:rStyle w:val="tlid-translation"/>
          <w:lang w:val="en"/>
        </w:rPr>
        <w:t>, measures for which are</w:t>
      </w:r>
      <w:r w:rsidRPr="00B6494D">
        <w:rPr>
          <w:rStyle w:val="tlid-translation"/>
          <w:lang w:val="en"/>
        </w:rPr>
        <w:t xml:space="preserve"> monitored through bi-annual plans and bi-annual reports on the implementation of the Strategy.</w:t>
      </w:r>
      <w:r>
        <w:rPr>
          <w:rStyle w:val="tlid-translation"/>
          <w:lang w:val="bg-BG"/>
        </w:rPr>
        <w:t xml:space="preserve"> </w:t>
      </w:r>
    </w:p>
    <w:p w14:paraId="52A036D1" w14:textId="77777777" w:rsidR="00077FDB" w:rsidRDefault="00077FDB" w:rsidP="004A4056">
      <w:pPr>
        <w:pStyle w:val="FRABodyText"/>
      </w:pPr>
    </w:p>
    <w:p w14:paraId="191B021D" w14:textId="50F188E3" w:rsidR="009C28A5" w:rsidRPr="00CB4A00" w:rsidRDefault="004A4056" w:rsidP="004A4056">
      <w:pPr>
        <w:pStyle w:val="FRABodyText"/>
        <w:rPr>
          <w:rStyle w:val="tlid-translation"/>
        </w:rPr>
      </w:pPr>
      <w:r>
        <w:t>The updated national demographic strategy 2012-2030</w:t>
      </w:r>
      <w:r>
        <w:rPr>
          <w:rStyle w:val="FootnoteReference"/>
        </w:rPr>
        <w:footnoteReference w:id="145"/>
      </w:r>
      <w:r w:rsidR="009C28A5">
        <w:rPr>
          <w:rStyle w:val="tlid-translation"/>
        </w:rPr>
        <w:t xml:space="preserve"> defines as </w:t>
      </w:r>
      <w:r w:rsidR="009C28A5" w:rsidRPr="00CB4A00">
        <w:rPr>
          <w:rStyle w:val="tlid-translation"/>
        </w:rPr>
        <w:t>main challenges of the demographic policy early mortality, disproportionate dispersal of the population</w:t>
      </w:r>
      <w:r w:rsidR="009C28A5">
        <w:rPr>
          <w:rStyle w:val="tlid-translation"/>
        </w:rPr>
        <w:t xml:space="preserve"> and</w:t>
      </w:r>
      <w:r>
        <w:rPr>
          <w:rStyle w:val="tlid-translation"/>
          <w:lang w:val="bg-BG"/>
        </w:rPr>
        <w:t xml:space="preserve"> </w:t>
      </w:r>
      <w:r w:rsidR="009C28A5" w:rsidRPr="00B36008">
        <w:rPr>
          <w:rStyle w:val="tlid-translation"/>
          <w:lang w:val="bg-BG"/>
        </w:rPr>
        <w:t xml:space="preserve">formulates priority directions and tasks in the field of demographic policy aimed at slowing down the pace of population decline </w:t>
      </w:r>
      <w:r w:rsidR="009C28A5">
        <w:rPr>
          <w:rStyle w:val="tlid-translation"/>
        </w:rPr>
        <w:t xml:space="preserve">as well as at </w:t>
      </w:r>
      <w:r w:rsidR="009C28A5" w:rsidRPr="00CB4A00">
        <w:rPr>
          <w:rStyle w:val="tlid-translation"/>
        </w:rPr>
        <w:t xml:space="preserve">overcoming the repercussions of the ageing population </w:t>
      </w:r>
      <w:r>
        <w:rPr>
          <w:rStyle w:val="tlid-translation"/>
          <w:lang w:val="en-US"/>
        </w:rPr>
        <w:t>through</w:t>
      </w:r>
      <w:r w:rsidR="009C28A5" w:rsidRPr="00CB4A00">
        <w:rPr>
          <w:rStyle w:val="tlid-translation"/>
        </w:rPr>
        <w:t xml:space="preserve"> active ageing, social system adaptation, increasing the quality of life of older people</w:t>
      </w:r>
      <w:r w:rsidR="009C28A5">
        <w:rPr>
          <w:rStyle w:val="tlid-translation"/>
        </w:rPr>
        <w:t>.</w:t>
      </w:r>
    </w:p>
    <w:p w14:paraId="3C2CDDFD" w14:textId="77777777" w:rsidR="009C28A5" w:rsidRDefault="009C28A5" w:rsidP="004A4056">
      <w:pPr>
        <w:pStyle w:val="FRABodyText"/>
        <w:rPr>
          <w:rStyle w:val="tlid-translation"/>
          <w:lang w:val="bg-BG"/>
        </w:rPr>
      </w:pPr>
    </w:p>
    <w:p w14:paraId="0A96DFD7" w14:textId="75112C3E" w:rsidR="009C28A5" w:rsidRPr="00446E27" w:rsidRDefault="009C28A5" w:rsidP="004A4056">
      <w:pPr>
        <w:pStyle w:val="FRABodyText"/>
        <w:rPr>
          <w:rStyle w:val="tlid-translation"/>
          <w:lang w:val="en-US"/>
        </w:rPr>
      </w:pPr>
      <w:r>
        <w:rPr>
          <w:rStyle w:val="tlid-translation"/>
        </w:rPr>
        <w:t>The</w:t>
      </w:r>
      <w:r w:rsidRPr="008E576F">
        <w:rPr>
          <w:rStyle w:val="tlid-translation"/>
          <w:lang w:val="bg-BG"/>
        </w:rPr>
        <w:t xml:space="preserve"> </w:t>
      </w:r>
      <w:r w:rsidRPr="007505B8">
        <w:rPr>
          <w:rStyle w:val="tlid-translation"/>
        </w:rPr>
        <w:t>National</w:t>
      </w:r>
      <w:r w:rsidRPr="008E576F">
        <w:rPr>
          <w:rStyle w:val="tlid-translation"/>
          <w:lang w:val="bg-BG"/>
        </w:rPr>
        <w:t xml:space="preserve"> </w:t>
      </w:r>
      <w:r w:rsidRPr="007505B8">
        <w:rPr>
          <w:rStyle w:val="tlid-translation"/>
        </w:rPr>
        <w:t>Concept</w:t>
      </w:r>
      <w:r w:rsidRPr="008E576F">
        <w:rPr>
          <w:rStyle w:val="tlid-translation"/>
          <w:lang w:val="bg-BG"/>
        </w:rPr>
        <w:t xml:space="preserve"> </w:t>
      </w:r>
      <w:r w:rsidRPr="007505B8">
        <w:rPr>
          <w:rStyle w:val="tlid-translation"/>
          <w:lang w:val="bg-BG"/>
        </w:rPr>
        <w:t>for Active Ageing in Bulgaria 2012 – 2030</w:t>
      </w:r>
      <w:r w:rsidRPr="008E576F">
        <w:rPr>
          <w:rStyle w:val="tlid-translation"/>
          <w:lang w:val="bg-BG"/>
        </w:rPr>
        <w:t xml:space="preserve"> (</w:t>
      </w:r>
      <w:r w:rsidRPr="007505B8">
        <w:rPr>
          <w:rStyle w:val="tlid-translation"/>
          <w:i/>
          <w:lang w:val="bg-BG"/>
        </w:rPr>
        <w:t>Национална концепция за насърчаване на активния живот на възрастните хора 2012 – 2030 г</w:t>
      </w:r>
      <w:r w:rsidRPr="007505B8">
        <w:rPr>
          <w:rStyle w:val="tlid-translation"/>
          <w:lang w:val="bg-BG"/>
        </w:rPr>
        <w:t>.)</w:t>
      </w:r>
      <w:r w:rsidRPr="008E576F">
        <w:rPr>
          <w:rStyle w:val="tlid-translation"/>
          <w:lang w:val="bg-BG"/>
        </w:rPr>
        <w:t xml:space="preserve"> </w:t>
      </w:r>
      <w:r>
        <w:rPr>
          <w:rStyle w:val="FootnoteReference"/>
          <w:lang w:val="bg-BG"/>
        </w:rPr>
        <w:footnoteReference w:id="146"/>
      </w:r>
      <w:r>
        <w:rPr>
          <w:rStyle w:val="tlid-translation"/>
          <w:lang w:val="bg-BG"/>
        </w:rPr>
        <w:t xml:space="preserve"> </w:t>
      </w:r>
      <w:r w:rsidRPr="00C514C5">
        <w:rPr>
          <w:rStyle w:val="tlid-translation"/>
          <w:lang w:val="bg-BG"/>
        </w:rPr>
        <w:t xml:space="preserve"> is based on the </w:t>
      </w:r>
      <w:r w:rsidRPr="00C514C5">
        <w:rPr>
          <w:rStyle w:val="tlid-translation"/>
          <w:lang w:val="bg-BG"/>
        </w:rPr>
        <w:lastRenderedPageBreak/>
        <w:t>concept of active ageing in its interrelated aspects:</w:t>
      </w:r>
      <w:r w:rsidR="00446E27">
        <w:rPr>
          <w:rStyle w:val="tlid-translation"/>
          <w:lang w:val="en-US"/>
        </w:rPr>
        <w:t xml:space="preserve"> </w:t>
      </w:r>
      <w:r w:rsidRPr="00C514C5">
        <w:rPr>
          <w:rStyle w:val="tlid-translation"/>
          <w:lang w:val="bg-BG"/>
        </w:rPr>
        <w:t xml:space="preserve">economic, </w:t>
      </w:r>
      <w:r w:rsidR="00446E27">
        <w:rPr>
          <w:rStyle w:val="tlid-translation"/>
          <w:lang w:val="en-US"/>
        </w:rPr>
        <w:t xml:space="preserve">emphasized by the OSCE in relation </w:t>
      </w:r>
      <w:r w:rsidRPr="00C514C5">
        <w:rPr>
          <w:rStyle w:val="tlid-translation"/>
          <w:lang w:val="bg-BG"/>
        </w:rPr>
        <w:t xml:space="preserve">to the ability of older people to make </w:t>
      </w:r>
      <w:r w:rsidR="00446E27">
        <w:rPr>
          <w:rStyle w:val="tlid-translation"/>
          <w:lang w:val="en-US"/>
        </w:rPr>
        <w:t>a</w:t>
      </w:r>
      <w:r w:rsidRPr="00C514C5">
        <w:rPr>
          <w:rStyle w:val="tlid-translation"/>
          <w:lang w:val="bg-BG"/>
        </w:rPr>
        <w:t xml:space="preserve"> real</w:t>
      </w:r>
      <w:r w:rsidR="00446E27">
        <w:rPr>
          <w:rStyle w:val="tlid-translation"/>
          <w:lang w:val="en-US"/>
        </w:rPr>
        <w:t xml:space="preserve"> </w:t>
      </w:r>
      <w:r w:rsidRPr="00C514C5">
        <w:rPr>
          <w:rStyle w:val="tlid-translation"/>
          <w:lang w:val="bg-BG"/>
        </w:rPr>
        <w:t>economic and social contribution to society</w:t>
      </w:r>
      <w:r w:rsidR="00446E27">
        <w:rPr>
          <w:rStyle w:val="tlid-translation"/>
          <w:lang w:val="en-US"/>
        </w:rPr>
        <w:t>;</w:t>
      </w:r>
    </w:p>
    <w:p w14:paraId="0A52DFF1" w14:textId="5776142F" w:rsidR="009C28A5" w:rsidRPr="00771511" w:rsidRDefault="009C28A5" w:rsidP="004A4056">
      <w:pPr>
        <w:pStyle w:val="FRABodyText"/>
        <w:rPr>
          <w:rStyle w:val="tlid-translation"/>
        </w:rPr>
      </w:pPr>
      <w:r w:rsidRPr="00C514C5">
        <w:rPr>
          <w:rStyle w:val="tlid-translation"/>
          <w:lang w:val="bg-BG"/>
        </w:rPr>
        <w:t>healthy lifestyles, longer participation in the labor market, later retirement and retention after retirement, etc.,</w:t>
      </w:r>
      <w:r>
        <w:rPr>
          <w:rStyle w:val="tlid-translation"/>
        </w:rPr>
        <w:t xml:space="preserve"> </w:t>
      </w:r>
      <w:r w:rsidRPr="00C514C5">
        <w:rPr>
          <w:rStyle w:val="tlid-translation"/>
          <w:lang w:val="bg-BG"/>
        </w:rPr>
        <w:t>the need for comprehensive participation in social, economic, cultural, spiritual and civic life, as defined by the World Health Organization</w:t>
      </w:r>
      <w:r w:rsidRPr="007505B8">
        <w:rPr>
          <w:rStyle w:val="tlid-translation"/>
          <w:lang w:val="bg-BG"/>
        </w:rPr>
        <w:t>.</w:t>
      </w:r>
      <w:r w:rsidR="00446E27">
        <w:rPr>
          <w:rStyle w:val="tlid-translation"/>
          <w:lang w:val="en-US"/>
        </w:rPr>
        <w:t xml:space="preserve"> </w:t>
      </w:r>
      <w:r w:rsidRPr="00B5278C">
        <w:rPr>
          <w:rStyle w:val="tlid-translation"/>
          <w:lang w:val="bg-BG"/>
        </w:rPr>
        <w:t>The Concept</w:t>
      </w:r>
      <w:r w:rsidR="00CF0541">
        <w:rPr>
          <w:rStyle w:val="tlid-translation"/>
        </w:rPr>
        <w:t xml:space="preserve"> is operationalised in bi-annual reports on its mainstreaming in sectoral policies.</w:t>
      </w:r>
    </w:p>
    <w:p w14:paraId="2865E077" w14:textId="77777777" w:rsidR="009C28A5" w:rsidRPr="007505B8" w:rsidRDefault="009C28A5" w:rsidP="004A4056">
      <w:pPr>
        <w:pStyle w:val="FRABodyText"/>
        <w:rPr>
          <w:rStyle w:val="tlid-translation"/>
          <w:lang w:val="bg-BG"/>
        </w:rPr>
      </w:pPr>
    </w:p>
    <w:p w14:paraId="671D9DBA" w14:textId="710FA872" w:rsidR="009C28A5" w:rsidRPr="003A5EC8" w:rsidRDefault="009C28A5" w:rsidP="004A4056">
      <w:pPr>
        <w:pStyle w:val="FRABodyText"/>
        <w:rPr>
          <w:rStyle w:val="tlid-translation"/>
        </w:rPr>
      </w:pPr>
      <w:r>
        <w:rPr>
          <w:rStyle w:val="tlid-translation"/>
        </w:rPr>
        <w:t xml:space="preserve">The </w:t>
      </w:r>
      <w:r w:rsidRPr="00EE7555">
        <w:rPr>
          <w:rStyle w:val="tlid-translation"/>
          <w:lang w:val="bg-BG"/>
        </w:rPr>
        <w:t xml:space="preserve">Operational Programme "Human Resources Development" 2007-2013 </w:t>
      </w:r>
      <w:r w:rsidRPr="00E20A91">
        <w:rPr>
          <w:rStyle w:val="tlid-translation"/>
          <w:i/>
        </w:rPr>
        <w:t>(</w:t>
      </w:r>
      <w:r w:rsidRPr="00E20A91">
        <w:rPr>
          <w:rStyle w:val="tlid-translation"/>
          <w:i/>
          <w:lang w:val="bg-BG"/>
        </w:rPr>
        <w:t>Оперативна програма "Развитие на човешките ресурси" 2007-2013</w:t>
      </w:r>
      <w:r>
        <w:rPr>
          <w:rStyle w:val="tlid-translation"/>
        </w:rPr>
        <w:t>)</w:t>
      </w:r>
      <w:r>
        <w:rPr>
          <w:rStyle w:val="FootnoteReference"/>
        </w:rPr>
        <w:footnoteReference w:id="147"/>
      </w:r>
      <w:r>
        <w:rPr>
          <w:rStyle w:val="tlid-translation"/>
        </w:rPr>
        <w:t xml:space="preserve"> has defined </w:t>
      </w:r>
      <w:r w:rsidRPr="00EE7555">
        <w:rPr>
          <w:rStyle w:val="tlid-translation"/>
          <w:lang w:val="bg-BG"/>
        </w:rPr>
        <w:t xml:space="preserve">unemployed 50+ </w:t>
      </w:r>
      <w:r w:rsidR="00705566">
        <w:rPr>
          <w:rStyle w:val="tlid-translation"/>
          <w:lang w:val="en-US"/>
        </w:rPr>
        <w:t>year olds</w:t>
      </w:r>
      <w:r>
        <w:rPr>
          <w:rStyle w:val="tlid-translation"/>
        </w:rPr>
        <w:t xml:space="preserve"> as a vulnerable group and </w:t>
      </w:r>
      <w:r w:rsidRPr="00E82EE7">
        <w:rPr>
          <w:rStyle w:val="tlid-translation"/>
        </w:rPr>
        <w:t>older people living alone as subject to risk of poverty or social exclusion</w:t>
      </w:r>
      <w:r>
        <w:rPr>
          <w:rStyle w:val="tlid-translation"/>
        </w:rPr>
        <w:t xml:space="preserve">. </w:t>
      </w:r>
      <w:r w:rsidRPr="00E82EE7">
        <w:rPr>
          <w:rStyle w:val="tlid-translation"/>
        </w:rPr>
        <w:t xml:space="preserve">Among its specific goals </w:t>
      </w:r>
      <w:r w:rsidR="00705566">
        <w:rPr>
          <w:rStyle w:val="tlid-translation"/>
        </w:rPr>
        <w:t>are</w:t>
      </w:r>
      <w:r w:rsidRPr="00E82EE7">
        <w:rPr>
          <w:rStyle w:val="tlid-translation"/>
        </w:rPr>
        <w:t xml:space="preserve"> achieving  flexibility of the labour system with regard to older persons, educational and training measures, undertaking actions and measures against social exclusion, improved health and quality of life.</w:t>
      </w:r>
    </w:p>
    <w:p w14:paraId="7638C807" w14:textId="77777777" w:rsidR="009C28A5" w:rsidRDefault="009C28A5" w:rsidP="004A4056">
      <w:pPr>
        <w:pStyle w:val="FRABodyText"/>
        <w:rPr>
          <w:rStyle w:val="tlid-translation"/>
          <w:lang w:val="bg-BG"/>
        </w:rPr>
      </w:pPr>
      <w:r w:rsidRPr="00EE7555">
        <w:rPr>
          <w:rStyle w:val="tlid-translation"/>
          <w:lang w:val="bg-BG"/>
        </w:rPr>
        <w:tab/>
      </w:r>
    </w:p>
    <w:p w14:paraId="1D146ECE" w14:textId="3AB0C38F" w:rsidR="009C28A5" w:rsidRPr="0077000D" w:rsidRDefault="009C28A5" w:rsidP="004A4056">
      <w:pPr>
        <w:pStyle w:val="FRABodyText"/>
        <w:rPr>
          <w:rStyle w:val="tlid-translation"/>
        </w:rPr>
      </w:pPr>
      <w:r>
        <w:rPr>
          <w:rStyle w:val="tlid-translation"/>
        </w:rPr>
        <w:t xml:space="preserve">The </w:t>
      </w:r>
      <w:r w:rsidRPr="00EE7555">
        <w:rPr>
          <w:rStyle w:val="tlid-translation"/>
          <w:lang w:val="bg-BG"/>
        </w:rPr>
        <w:t xml:space="preserve">National Strategy for </w:t>
      </w:r>
      <w:r w:rsidR="00705566">
        <w:rPr>
          <w:rStyle w:val="tlid-translation"/>
          <w:lang w:val="en-US"/>
        </w:rPr>
        <w:t>L</w:t>
      </w:r>
      <w:r w:rsidRPr="00EE7555">
        <w:rPr>
          <w:rStyle w:val="tlid-translation"/>
          <w:lang w:val="bg-BG"/>
        </w:rPr>
        <w:t>ife-</w:t>
      </w:r>
      <w:r w:rsidR="00705566">
        <w:rPr>
          <w:rStyle w:val="tlid-translation"/>
          <w:lang w:val="en-US"/>
        </w:rPr>
        <w:t>L</w:t>
      </w:r>
      <w:r w:rsidRPr="00EE7555">
        <w:rPr>
          <w:rStyle w:val="tlid-translation"/>
          <w:lang w:val="bg-BG"/>
        </w:rPr>
        <w:t>ong Learning</w:t>
      </w:r>
      <w:r>
        <w:rPr>
          <w:rStyle w:val="tlid-translation"/>
        </w:rPr>
        <w:t xml:space="preserve"> </w:t>
      </w:r>
      <w:r w:rsidR="00705566">
        <w:rPr>
          <w:rStyle w:val="tlid-translation"/>
        </w:rPr>
        <w:t xml:space="preserve">2014-2020 </w:t>
      </w:r>
      <w:r>
        <w:rPr>
          <w:rStyle w:val="tlid-translation"/>
        </w:rPr>
        <w:t>(</w:t>
      </w:r>
      <w:r w:rsidRPr="00EE7555">
        <w:rPr>
          <w:rStyle w:val="tlid-translation"/>
          <w:lang w:val="bg-BG"/>
        </w:rPr>
        <w:t xml:space="preserve"> </w:t>
      </w:r>
      <w:r w:rsidRPr="004D03F7">
        <w:rPr>
          <w:rStyle w:val="tlid-translation"/>
          <w:i/>
          <w:lang w:val="bg-BG"/>
        </w:rPr>
        <w:t>Национална стратегия за учене през целия живот</w:t>
      </w:r>
      <w:r w:rsidR="00705566">
        <w:rPr>
          <w:rStyle w:val="tlid-translation"/>
          <w:iCs/>
          <w:lang w:val="en-US"/>
        </w:rPr>
        <w:t xml:space="preserve"> </w:t>
      </w:r>
      <w:r w:rsidR="00705566" w:rsidRPr="00705566">
        <w:rPr>
          <w:rStyle w:val="tlid-translation"/>
          <w:i/>
          <w:lang w:val="en-US"/>
        </w:rPr>
        <w:t>2014-2020</w:t>
      </w:r>
      <w:r>
        <w:rPr>
          <w:rStyle w:val="tlid-translation"/>
        </w:rPr>
        <w:t>)</w:t>
      </w:r>
      <w:r>
        <w:rPr>
          <w:rStyle w:val="FootnoteReference"/>
        </w:rPr>
        <w:footnoteReference w:id="148"/>
      </w:r>
      <w:r>
        <w:rPr>
          <w:rStyle w:val="tlid-translation"/>
        </w:rPr>
        <w:t xml:space="preserve"> provides for </w:t>
      </w:r>
      <w:r w:rsidRPr="004D03F7">
        <w:rPr>
          <w:rStyle w:val="tlid-translation"/>
        </w:rPr>
        <w:t>equal access to lifelong learning, active social inclusion and participation</w:t>
      </w:r>
      <w:r>
        <w:rPr>
          <w:rStyle w:val="tlid-translation"/>
        </w:rPr>
        <w:t xml:space="preserve">, </w:t>
      </w:r>
      <w:r w:rsidRPr="00EE7555">
        <w:rPr>
          <w:rStyle w:val="tlid-translation"/>
          <w:lang w:val="bg-BG"/>
        </w:rPr>
        <w:t>informal and independent learning and self-realisaton</w:t>
      </w:r>
      <w:r w:rsidR="00F31E06">
        <w:rPr>
          <w:rStyle w:val="tlid-translation"/>
          <w:lang w:val="en-US"/>
        </w:rPr>
        <w:t>, all with</w:t>
      </w:r>
      <w:r>
        <w:rPr>
          <w:rStyle w:val="tlid-translation"/>
        </w:rPr>
        <w:t xml:space="preserve"> </w:t>
      </w:r>
      <w:r w:rsidR="00705566">
        <w:rPr>
          <w:rStyle w:val="tlid-translation"/>
          <w:lang w:val="en-US"/>
        </w:rPr>
        <w:t>an emphasis</w:t>
      </w:r>
      <w:r w:rsidRPr="00EE7555">
        <w:rPr>
          <w:rStyle w:val="tlid-translation"/>
          <w:lang w:val="bg-BG"/>
        </w:rPr>
        <w:t xml:space="preserve"> on older persons</w:t>
      </w:r>
      <w:r>
        <w:rPr>
          <w:rStyle w:val="tlid-translation"/>
        </w:rPr>
        <w:t>. Among it</w:t>
      </w:r>
      <w:r w:rsidR="00705566">
        <w:rPr>
          <w:rStyle w:val="tlid-translation"/>
        </w:rPr>
        <w:t>s</w:t>
      </w:r>
      <w:r>
        <w:rPr>
          <w:rStyle w:val="tlid-translation"/>
        </w:rPr>
        <w:t xml:space="preserve"> </w:t>
      </w:r>
      <w:r w:rsidRPr="00EE7555">
        <w:rPr>
          <w:rStyle w:val="tlid-translation"/>
          <w:lang w:val="bg-BG"/>
        </w:rPr>
        <w:t>goals and measures</w:t>
      </w:r>
      <w:r>
        <w:rPr>
          <w:rStyle w:val="tlid-translation"/>
        </w:rPr>
        <w:t xml:space="preserve"> is </w:t>
      </w:r>
      <w:r w:rsidRPr="00EE7555">
        <w:rPr>
          <w:rStyle w:val="tlid-translation"/>
          <w:lang w:val="bg-BG"/>
        </w:rPr>
        <w:t>promotion of in-work continuing education and training for over-55 y</w:t>
      </w:r>
      <w:r w:rsidR="00705566">
        <w:rPr>
          <w:rStyle w:val="tlid-translation"/>
          <w:lang w:val="en-US"/>
        </w:rPr>
        <w:t>ear olds</w:t>
      </w:r>
      <w:r>
        <w:rPr>
          <w:rStyle w:val="tlid-translation"/>
        </w:rPr>
        <w:t>.</w:t>
      </w:r>
      <w:r w:rsidR="00CF0541">
        <w:rPr>
          <w:rStyle w:val="tlid-translation"/>
        </w:rPr>
        <w:t xml:space="preserve"> The document is operationalised in annual action plans.</w:t>
      </w:r>
    </w:p>
    <w:p w14:paraId="33EBA7EF" w14:textId="77777777" w:rsidR="009C28A5" w:rsidRDefault="009C28A5" w:rsidP="004A4056">
      <w:pPr>
        <w:pStyle w:val="FRABodyText"/>
        <w:rPr>
          <w:rStyle w:val="tlid-translation"/>
          <w:highlight w:val="yellow"/>
          <w:lang w:val="bg-BG"/>
        </w:rPr>
      </w:pPr>
    </w:p>
    <w:p w14:paraId="1DD2E0A9" w14:textId="6976DCD0" w:rsidR="00CF0541" w:rsidRDefault="009C28A5" w:rsidP="003177AC">
      <w:pPr>
        <w:pStyle w:val="FRABodyText"/>
        <w:rPr>
          <w:rStyle w:val="tlid-translation"/>
        </w:rPr>
      </w:pPr>
      <w:r>
        <w:rPr>
          <w:rStyle w:val="tlid-translation"/>
        </w:rPr>
        <w:t xml:space="preserve">The </w:t>
      </w:r>
      <w:r w:rsidRPr="00EE7555">
        <w:rPr>
          <w:rStyle w:val="tlid-translation"/>
          <w:lang w:val="bg-BG"/>
        </w:rPr>
        <w:t>National Strategy for Long-term Care</w:t>
      </w:r>
      <w:r>
        <w:rPr>
          <w:rStyle w:val="FootnoteReference"/>
        </w:rPr>
        <w:footnoteReference w:id="149"/>
      </w:r>
      <w:r>
        <w:rPr>
          <w:rStyle w:val="tlid-translation"/>
        </w:rPr>
        <w:t xml:space="preserve"> </w:t>
      </w:r>
      <w:r w:rsidR="00FD1914">
        <w:rPr>
          <w:rStyle w:val="tlid-translation"/>
        </w:rPr>
        <w:t>mentions as</w:t>
      </w:r>
      <w:r w:rsidR="003177AC">
        <w:rPr>
          <w:rStyle w:val="tlid-translation"/>
        </w:rPr>
        <w:t xml:space="preserve"> vulnerability factors i</w:t>
      </w:r>
      <w:r w:rsidR="003177AC" w:rsidRPr="003177AC">
        <w:rPr>
          <w:rStyle w:val="tlid-translation"/>
        </w:rPr>
        <w:t>nsufficient number of services for elderly people and people with disabilities,</w:t>
      </w:r>
      <w:r w:rsidR="003177AC">
        <w:rPr>
          <w:rStyle w:val="tlid-translation"/>
        </w:rPr>
        <w:t xml:space="preserve"> i</w:t>
      </w:r>
      <w:r w:rsidR="003177AC" w:rsidRPr="003177AC">
        <w:rPr>
          <w:rStyle w:val="tlid-translation"/>
        </w:rPr>
        <w:t>nsufficient financial resources</w:t>
      </w:r>
      <w:r w:rsidR="00F31E06">
        <w:rPr>
          <w:rStyle w:val="tlid-translation"/>
        </w:rPr>
        <w:t xml:space="preserve"> as</w:t>
      </w:r>
      <w:r w:rsidR="003177AC">
        <w:rPr>
          <w:rStyle w:val="tlid-translation"/>
        </w:rPr>
        <w:t xml:space="preserve"> reason for social exclusion, l</w:t>
      </w:r>
      <w:r w:rsidR="003177AC" w:rsidRPr="003177AC">
        <w:rPr>
          <w:rStyle w:val="tlid-translation"/>
        </w:rPr>
        <w:t>ack of accessible social and architectural environment</w:t>
      </w:r>
      <w:r w:rsidR="003177AC">
        <w:rPr>
          <w:rStyle w:val="tlid-translation"/>
        </w:rPr>
        <w:t>,</w:t>
      </w:r>
      <w:r w:rsidR="00FD1914">
        <w:rPr>
          <w:rStyle w:val="tlid-translation"/>
        </w:rPr>
        <w:t xml:space="preserve"> </w:t>
      </w:r>
      <w:r w:rsidR="003177AC">
        <w:rPr>
          <w:rStyle w:val="tlid-translation"/>
        </w:rPr>
        <w:t>d</w:t>
      </w:r>
      <w:r w:rsidR="003177AC" w:rsidRPr="003177AC">
        <w:rPr>
          <w:rStyle w:val="tlid-translation"/>
        </w:rPr>
        <w:t xml:space="preserve">emand for institutional care, especially for elderly </w:t>
      </w:r>
      <w:r w:rsidR="003177AC">
        <w:rPr>
          <w:rStyle w:val="tlid-translation"/>
        </w:rPr>
        <w:t xml:space="preserve">people, </w:t>
      </w:r>
      <w:r w:rsidR="003177AC" w:rsidRPr="003177AC">
        <w:rPr>
          <w:rStyle w:val="tlid-translation"/>
        </w:rPr>
        <w:t>lack of comprehensive (medical and social) services</w:t>
      </w:r>
      <w:r w:rsidR="003177AC">
        <w:rPr>
          <w:rStyle w:val="tlid-translation"/>
        </w:rPr>
        <w:t xml:space="preserve">. </w:t>
      </w:r>
      <w:r w:rsidR="00CF0541">
        <w:rPr>
          <w:rStyle w:val="tlid-translation"/>
        </w:rPr>
        <w:t>The Strategy is currently operationalised in a four-year action plan for 2018-2021.</w:t>
      </w:r>
    </w:p>
    <w:p w14:paraId="65E577AA" w14:textId="2F2CADFE" w:rsidR="00FD1914" w:rsidRDefault="00FD1914" w:rsidP="003177AC">
      <w:pPr>
        <w:pStyle w:val="FRABodyText"/>
        <w:rPr>
          <w:rStyle w:val="tlid-translation"/>
        </w:rPr>
      </w:pPr>
    </w:p>
    <w:p w14:paraId="601BBF11" w14:textId="22B4241B" w:rsidR="00FD1914" w:rsidRDefault="00FD1914" w:rsidP="003177AC">
      <w:pPr>
        <w:pStyle w:val="FRABodyText"/>
        <w:rPr>
          <w:rStyle w:val="tlid-translation"/>
        </w:rPr>
      </w:pPr>
      <w:r>
        <w:rPr>
          <w:rStyle w:val="tlid-translation"/>
        </w:rPr>
        <w:t xml:space="preserve">Measures concerning the elderly are mainly financed through the state budget and operational programmes. </w:t>
      </w:r>
    </w:p>
    <w:p w14:paraId="38143199" w14:textId="7BFFC26E" w:rsidR="009C28A5" w:rsidRDefault="00CF0541" w:rsidP="004A4056">
      <w:pPr>
        <w:pStyle w:val="FRABodyText"/>
        <w:rPr>
          <w:rStyle w:val="tlid-translation"/>
          <w:lang w:val="bg-BG"/>
        </w:rPr>
      </w:pPr>
      <w:r>
        <w:rPr>
          <w:rStyle w:val="tlid-translation"/>
        </w:rPr>
        <w:t xml:space="preserve"> </w:t>
      </w:r>
    </w:p>
    <w:p w14:paraId="5FD94AC6" w14:textId="77777777" w:rsidR="00F106E0" w:rsidRDefault="00F106E0" w:rsidP="008E576F">
      <w:pPr>
        <w:numPr>
          <w:ilvl w:val="0"/>
          <w:numId w:val="6"/>
        </w:numPr>
        <w:spacing w:line="276" w:lineRule="auto"/>
        <w:rPr>
          <w:b/>
        </w:rPr>
      </w:pPr>
      <w:r w:rsidRPr="00F106E0">
        <w:rPr>
          <w:b/>
        </w:rPr>
        <w:t>People in Precarious Housing</w:t>
      </w:r>
    </w:p>
    <w:p w14:paraId="470EC40F" w14:textId="498F144E" w:rsidR="009C28A5" w:rsidRPr="00964D26" w:rsidRDefault="009C28A5" w:rsidP="0025214F">
      <w:pPr>
        <w:pStyle w:val="FRABodyText"/>
      </w:pPr>
      <w:r w:rsidRPr="00964D26">
        <w:t xml:space="preserve">The </w:t>
      </w:r>
      <w:r w:rsidR="00794A11">
        <w:t>Bulgarian housing strategy</w:t>
      </w:r>
      <w:r w:rsidRPr="00964D26">
        <w:rPr>
          <w:rStyle w:val="FootnoteReference"/>
          <w:rFonts w:eastAsiaTheme="minorHAnsi"/>
        </w:rPr>
        <w:footnoteReference w:id="150"/>
      </w:r>
      <w:r w:rsidRPr="00964D26">
        <w:t xml:space="preserve"> points out </w:t>
      </w:r>
      <w:r w:rsidR="00EA3CBE">
        <w:rPr>
          <w:lang w:val="en-US"/>
        </w:rPr>
        <w:t xml:space="preserve">to </w:t>
      </w:r>
      <w:r w:rsidRPr="00964D26">
        <w:rPr>
          <w:lang w:val="bg-BG"/>
        </w:rPr>
        <w:t>providing affordable housing for purchase and rent</w:t>
      </w:r>
      <w:r w:rsidRPr="00137E29">
        <w:t xml:space="preserve"> </w:t>
      </w:r>
      <w:r w:rsidRPr="00964D26">
        <w:t>as a key strategic objective</w:t>
      </w:r>
      <w:r>
        <w:t>.</w:t>
      </w:r>
      <w:r w:rsidRPr="00964D26">
        <w:t xml:space="preserve"> The Strategy considers</w:t>
      </w:r>
      <w:r>
        <w:t xml:space="preserve"> addressing </w:t>
      </w:r>
      <w:r w:rsidRPr="00964D26">
        <w:rPr>
          <w:lang w:val="bg-BG"/>
        </w:rPr>
        <w:t xml:space="preserve">the most urgent reforms and housing needs, taking into account the acute financial deficits </w:t>
      </w:r>
      <w:r w:rsidR="00794A11">
        <w:rPr>
          <w:lang w:val="en-US"/>
        </w:rPr>
        <w:t>in the country</w:t>
      </w:r>
      <w:r w:rsidRPr="00964D26">
        <w:rPr>
          <w:lang w:val="bg-BG"/>
        </w:rPr>
        <w:t>.</w:t>
      </w:r>
      <w:r w:rsidRPr="00964D26">
        <w:t xml:space="preserve"> The strategic </w:t>
      </w:r>
      <w:r w:rsidRPr="00964D26">
        <w:lastRenderedPageBreak/>
        <w:t xml:space="preserve">objectives are pursued in </w:t>
      </w:r>
      <w:r w:rsidR="00925F2B">
        <w:t>several</w:t>
      </w:r>
      <w:r w:rsidRPr="00964D26">
        <w:t xml:space="preserve"> operational areas</w:t>
      </w:r>
      <w:r w:rsidR="00EA3CBE">
        <w:t xml:space="preserve">, including </w:t>
      </w:r>
      <w:r w:rsidRPr="00964D26">
        <w:t xml:space="preserve">problems in </w:t>
      </w:r>
      <w:r w:rsidR="00086379">
        <w:t>the housing system</w:t>
      </w:r>
      <w:r w:rsidR="00EA3CBE">
        <w:t>, addressed by</w:t>
      </w:r>
      <w:r w:rsidRPr="00964D26">
        <w:t xml:space="preserve"> </w:t>
      </w:r>
      <w:r w:rsidRPr="00964D26">
        <w:rPr>
          <w:rStyle w:val="tlid-translation"/>
          <w:lang w:val="en"/>
        </w:rPr>
        <w:t xml:space="preserve">providing housing for low-income families and improving the living conditions of the Roma. </w:t>
      </w:r>
      <w:r w:rsidRPr="00964D26">
        <w:t>The</w:t>
      </w:r>
      <w:r w:rsidRPr="00964D26">
        <w:rPr>
          <w:rStyle w:val="tlid-translation"/>
          <w:lang w:val="en"/>
        </w:rPr>
        <w:t xml:space="preserve"> strategic goals and program</w:t>
      </w:r>
      <w:r w:rsidR="00086379">
        <w:rPr>
          <w:rStyle w:val="tlid-translation"/>
          <w:lang w:val="en"/>
        </w:rPr>
        <w:t>me</w:t>
      </w:r>
      <w:r w:rsidRPr="00964D26">
        <w:rPr>
          <w:rStyle w:val="tlid-translation"/>
          <w:lang w:val="en"/>
        </w:rPr>
        <w:t xml:space="preserve">s are updated and further developed </w:t>
      </w:r>
      <w:r w:rsidRPr="00964D26">
        <w:t>in the Draft National Housing Strategy 2018-2030 (</w:t>
      </w:r>
      <w:r w:rsidRPr="00964D26">
        <w:rPr>
          <w:i/>
        </w:rPr>
        <w:t xml:space="preserve">Проект </w:t>
      </w:r>
      <w:r>
        <w:rPr>
          <w:i/>
          <w:lang w:val="bg-BG"/>
        </w:rPr>
        <w:t>за</w:t>
      </w:r>
      <w:r>
        <w:rPr>
          <w:i/>
        </w:rPr>
        <w:t xml:space="preserve"> </w:t>
      </w:r>
      <w:r w:rsidRPr="00964D26">
        <w:rPr>
          <w:i/>
        </w:rPr>
        <w:t>Национална жилищна стратегия 2018-2030</w:t>
      </w:r>
      <w:r w:rsidRPr="00964D26">
        <w:t>)</w:t>
      </w:r>
      <w:r w:rsidRPr="00964D26">
        <w:rPr>
          <w:rStyle w:val="FootnoteReference"/>
          <w:rFonts w:eastAsiaTheme="minorHAnsi"/>
        </w:rPr>
        <w:footnoteReference w:id="151"/>
      </w:r>
      <w:r w:rsidRPr="00964D26">
        <w:t xml:space="preserve"> </w:t>
      </w:r>
      <w:r w:rsidR="00925F2B">
        <w:t xml:space="preserve">which is </w:t>
      </w:r>
      <w:r w:rsidRPr="00964D26">
        <w:t>not in force yet.</w:t>
      </w:r>
      <w:r>
        <w:rPr>
          <w:lang w:val="bg-BG"/>
        </w:rPr>
        <w:t xml:space="preserve"> </w:t>
      </w:r>
      <w:r w:rsidRPr="00964D26">
        <w:t>It contains provision</w:t>
      </w:r>
      <w:r w:rsidR="00086379">
        <w:t>s</w:t>
      </w:r>
      <w:r w:rsidRPr="00964D26">
        <w:t xml:space="preserve"> </w:t>
      </w:r>
      <w:r w:rsidR="00086379">
        <w:t>on</w:t>
      </w:r>
      <w:r w:rsidRPr="00964D26">
        <w:t xml:space="preserve"> financially affordable housing and supporting vulnerable groups.</w:t>
      </w:r>
    </w:p>
    <w:p w14:paraId="1C845E39" w14:textId="3BEEE4A5" w:rsidR="009C28A5" w:rsidRPr="006B44E3" w:rsidRDefault="009C28A5" w:rsidP="0025214F">
      <w:pPr>
        <w:pStyle w:val="FRABodyText"/>
      </w:pPr>
      <w:r w:rsidRPr="00542BF4">
        <w:tab/>
      </w:r>
    </w:p>
    <w:p w14:paraId="5D245944" w14:textId="0E866074" w:rsidR="009C28A5" w:rsidRPr="006B44E3" w:rsidRDefault="009C28A5" w:rsidP="00156156">
      <w:pPr>
        <w:pStyle w:val="FRABodyText"/>
        <w:rPr>
          <w:color w:val="000000" w:themeColor="text1"/>
        </w:rPr>
      </w:pPr>
      <w:r w:rsidRPr="00587BBA">
        <w:rPr>
          <w:color w:val="000000" w:themeColor="text1"/>
        </w:rPr>
        <w:t>The National Programme for the Renewal of Residential Buildings in Bulgaria (</w:t>
      </w:r>
      <w:r w:rsidRPr="008542E7">
        <w:rPr>
          <w:i/>
          <w:color w:val="000000" w:themeColor="text1"/>
        </w:rPr>
        <w:t>Национална програма за обновяване на жилищните сгради в Република България</w:t>
      </w:r>
      <w:r w:rsidRPr="00587BBA">
        <w:rPr>
          <w:color w:val="000000" w:themeColor="text1"/>
        </w:rPr>
        <w:t>)</w:t>
      </w:r>
      <w:r w:rsidRPr="00587BBA">
        <w:rPr>
          <w:rStyle w:val="FootnoteReference"/>
          <w:color w:val="000000" w:themeColor="text1"/>
        </w:rPr>
        <w:footnoteReference w:id="152"/>
      </w:r>
      <w:r w:rsidRPr="00587BBA">
        <w:t xml:space="preserve"> </w:t>
      </w:r>
      <w:r w:rsidR="00925F2B">
        <w:t xml:space="preserve">reviews a number of problems like </w:t>
      </w:r>
      <w:r w:rsidR="00086379">
        <w:t xml:space="preserve">the </w:t>
      </w:r>
      <w:r w:rsidRPr="00587BBA">
        <w:t>age of buildings, basic amenities and services, energy efficienc</w:t>
      </w:r>
      <w:r w:rsidR="00086379">
        <w:t>y</w:t>
      </w:r>
      <w:r w:rsidRPr="00587BBA">
        <w:t xml:space="preserve"> etc.</w:t>
      </w:r>
      <w:r w:rsidRPr="00587BBA">
        <w:rPr>
          <w:lang w:val="bg-BG"/>
        </w:rPr>
        <w:t xml:space="preserve"> The assessment draws attention to the financial vulnerability of owners towards current housing expenses </w:t>
      </w:r>
      <w:r>
        <w:t xml:space="preserve">and existing </w:t>
      </w:r>
      <w:r w:rsidRPr="00587BBA">
        <w:rPr>
          <w:lang w:val="bg-BG"/>
        </w:rPr>
        <w:t>risk of loss of ownership due to low income</w:t>
      </w:r>
      <w:r>
        <w:t>.</w:t>
      </w:r>
      <w:r w:rsidR="00086379">
        <w:t xml:space="preserve"> </w:t>
      </w:r>
    </w:p>
    <w:p w14:paraId="56815BDF" w14:textId="77777777" w:rsidR="009C28A5" w:rsidRDefault="009C28A5" w:rsidP="0025214F">
      <w:pPr>
        <w:pStyle w:val="FRABodyText"/>
      </w:pPr>
    </w:p>
    <w:p w14:paraId="3BAE4F81" w14:textId="1BBBDB94" w:rsidR="009C28A5" w:rsidRPr="00BF40AF" w:rsidRDefault="00156156" w:rsidP="0025214F">
      <w:pPr>
        <w:pStyle w:val="FRABodyText"/>
        <w:rPr>
          <w:rStyle w:val="tlid-translation"/>
          <w:rFonts w:eastAsiaTheme="minorHAnsi"/>
        </w:rPr>
      </w:pPr>
      <w:r>
        <w:rPr>
          <w:lang w:val="en-US"/>
        </w:rPr>
        <w:t>The national anti-poverty and social inclusion strategy</w:t>
      </w:r>
      <w:r>
        <w:rPr>
          <w:rStyle w:val="FootnoteReference"/>
          <w:lang w:val="en-US"/>
        </w:rPr>
        <w:footnoteReference w:id="153"/>
      </w:r>
      <w:r w:rsidR="009C28A5" w:rsidRPr="00A44C33">
        <w:rPr>
          <w:rStyle w:val="tlid-translation"/>
        </w:rPr>
        <w:t xml:space="preserve"> defines </w:t>
      </w:r>
      <w:r w:rsidR="009C28A5" w:rsidRPr="00A44C33">
        <w:t>homelessness and the deprivation of the possibility of housing as one of the key challenges</w:t>
      </w:r>
      <w:r w:rsidR="00652E36">
        <w:t>, regarding</w:t>
      </w:r>
      <w:r w:rsidR="009C28A5" w:rsidRPr="00A44C33">
        <w:t xml:space="preserve"> the most extreme forms of poverty and social exclusion</w:t>
      </w:r>
      <w:r w:rsidR="00652E36">
        <w:t>. Thus,</w:t>
      </w:r>
      <w:r w:rsidR="009C28A5" w:rsidRPr="00A44C33">
        <w:t xml:space="preserve"> homeless persons and persons living in poor housing conditions </w:t>
      </w:r>
      <w:r w:rsidR="009C28A5">
        <w:t xml:space="preserve">are identified as </w:t>
      </w:r>
      <w:r w:rsidR="009C28A5" w:rsidRPr="00A44C33">
        <w:t xml:space="preserve">one of </w:t>
      </w:r>
      <w:r w:rsidR="00925F2B">
        <w:t>the document’s</w:t>
      </w:r>
      <w:r w:rsidR="009C28A5" w:rsidRPr="00A44C33">
        <w:t xml:space="preserve"> main target groups</w:t>
      </w:r>
      <w:r w:rsidR="009C28A5">
        <w:t xml:space="preserve">, while </w:t>
      </w:r>
      <w:r w:rsidR="009C28A5" w:rsidRPr="00A44C33">
        <w:t>improving housing conditions and supporting homeless people</w:t>
      </w:r>
      <w:r w:rsidR="009C28A5">
        <w:t xml:space="preserve"> is</w:t>
      </w:r>
      <w:r w:rsidR="00652E36">
        <w:t xml:space="preserve"> set as</w:t>
      </w:r>
      <w:r w:rsidR="009C28A5">
        <w:t xml:space="preserve"> </w:t>
      </w:r>
      <w:r w:rsidR="00652E36">
        <w:t>priority</w:t>
      </w:r>
      <w:r w:rsidR="009C28A5">
        <w:t>.</w:t>
      </w:r>
      <w:r w:rsidR="009C28A5">
        <w:rPr>
          <w:lang w:val="bg-BG"/>
        </w:rPr>
        <w:t xml:space="preserve"> </w:t>
      </w:r>
      <w:r w:rsidR="009C28A5" w:rsidRPr="0037291A">
        <w:rPr>
          <w:lang w:val="bg-BG"/>
        </w:rPr>
        <w:t xml:space="preserve">The </w:t>
      </w:r>
      <w:r w:rsidR="009C28A5">
        <w:t>S</w:t>
      </w:r>
      <w:r w:rsidR="009C28A5" w:rsidRPr="0037291A">
        <w:rPr>
          <w:lang w:val="bg-BG"/>
        </w:rPr>
        <w:t xml:space="preserve">trategy </w:t>
      </w:r>
      <w:r w:rsidR="009C28A5">
        <w:t>determines measures  for easier access to housing for low-income households by increasing the number of residential buildings constructed with non-economic purpose and introducing a new subsidizing system and a specialized system for savings and loan-granting for housing</w:t>
      </w:r>
      <w:r w:rsidR="00652E36">
        <w:t>,</w:t>
      </w:r>
      <w:r w:rsidR="009C28A5">
        <w:t xml:space="preserve"> </w:t>
      </w:r>
      <w:r w:rsidR="009C28A5" w:rsidRPr="0037291A">
        <w:t>appropriate accommodation and housing infrastructure, as well as efficient and quality services for homeless persons</w:t>
      </w:r>
      <w:r w:rsidR="009C28A5">
        <w:t>.</w:t>
      </w:r>
      <w:r w:rsidR="009C28A5" w:rsidRPr="00A44C33">
        <w:tab/>
      </w:r>
      <w:r w:rsidR="009C28A5" w:rsidRPr="00A44C33">
        <w:tab/>
      </w:r>
      <w:r w:rsidR="009C28A5" w:rsidRPr="00A44C33">
        <w:tab/>
      </w:r>
    </w:p>
    <w:p w14:paraId="5B9865B3" w14:textId="77777777" w:rsidR="00925F2B" w:rsidRDefault="00925F2B" w:rsidP="00833C5D">
      <w:pPr>
        <w:pStyle w:val="FRABodyText"/>
        <w:rPr>
          <w:lang w:val="en-US"/>
        </w:rPr>
      </w:pPr>
    </w:p>
    <w:p w14:paraId="2E167FD2" w14:textId="36DD1C6D" w:rsidR="00F106E0" w:rsidRPr="007C5D6B" w:rsidRDefault="00833C5D" w:rsidP="00833C5D">
      <w:pPr>
        <w:pStyle w:val="FRABodyText"/>
        <w:rPr>
          <w:color w:val="000000"/>
          <w:lang w:val="en-US"/>
        </w:rPr>
      </w:pPr>
      <w:r>
        <w:rPr>
          <w:lang w:val="en-US"/>
        </w:rPr>
        <w:t xml:space="preserve">In its application guidelines, </w:t>
      </w:r>
      <w:r>
        <w:t>t</w:t>
      </w:r>
      <w:r w:rsidR="009C28A5" w:rsidRPr="00756910">
        <w:t>he Operational Programme "Regions in growth" 2014-2020</w:t>
      </w:r>
      <w:r w:rsidR="009C28A5">
        <w:t xml:space="preserve"> </w:t>
      </w:r>
      <w:r w:rsidR="009C28A5" w:rsidRPr="00756910">
        <w:rPr>
          <w:b/>
          <w:i/>
        </w:rPr>
        <w:t>(</w:t>
      </w:r>
      <w:r w:rsidR="009C28A5" w:rsidRPr="00756910">
        <w:rPr>
          <w:i/>
          <w:color w:val="000000"/>
        </w:rPr>
        <w:t>Оперативна Програма "Региони в Растеж" 2014-2020)</w:t>
      </w:r>
      <w:r w:rsidR="009C28A5">
        <w:rPr>
          <w:rStyle w:val="FootnoteReference"/>
          <w:i/>
          <w:color w:val="000000"/>
        </w:rPr>
        <w:footnoteReference w:id="154"/>
      </w:r>
      <w:r w:rsidR="009C28A5" w:rsidRPr="00756910">
        <w:rPr>
          <w:color w:val="000000"/>
        </w:rPr>
        <w:t xml:space="preserve"> </w:t>
      </w:r>
      <w:r w:rsidR="009C28A5">
        <w:rPr>
          <w:color w:val="000000"/>
        </w:rPr>
        <w:t xml:space="preserve">provides that the target group of each </w:t>
      </w:r>
      <w:r w:rsidR="004E4FA5">
        <w:rPr>
          <w:color w:val="000000"/>
        </w:rPr>
        <w:t xml:space="preserve">financed </w:t>
      </w:r>
      <w:r w:rsidR="009C28A5">
        <w:rPr>
          <w:color w:val="000000"/>
        </w:rPr>
        <w:t xml:space="preserve">project should include representatives of at least two of </w:t>
      </w:r>
      <w:r w:rsidR="004E4FA5">
        <w:rPr>
          <w:color w:val="000000"/>
        </w:rPr>
        <w:t>three</w:t>
      </w:r>
      <w:r w:rsidR="009C28A5">
        <w:rPr>
          <w:color w:val="000000"/>
        </w:rPr>
        <w:t xml:space="preserve"> vulnerable groups, one of which are </w:t>
      </w:r>
      <w:r w:rsidR="009C28A5" w:rsidRPr="00B82210">
        <w:rPr>
          <w:color w:val="000000"/>
        </w:rPr>
        <w:t xml:space="preserve">homeless people or people living in precarious </w:t>
      </w:r>
      <w:r>
        <w:rPr>
          <w:color w:val="000000"/>
        </w:rPr>
        <w:t>conditions</w:t>
      </w:r>
      <w:r w:rsidR="009C28A5">
        <w:rPr>
          <w:color w:val="000000"/>
        </w:rPr>
        <w:t xml:space="preserve">. </w:t>
      </w:r>
      <w:r w:rsidR="007C5D6B">
        <w:rPr>
          <w:color w:val="000000"/>
          <w:lang w:val="en-US"/>
        </w:rPr>
        <w:t>Under the same operational programme, at least 5</w:t>
      </w:r>
      <w:r w:rsidR="007C5D6B">
        <w:t xml:space="preserve">% </w:t>
      </w:r>
      <w:r w:rsidR="00A849C0">
        <w:t xml:space="preserve">of the overall budget for its priority axis 1 (about </w:t>
      </w:r>
      <w:r w:rsidR="006D3D8E" w:rsidRPr="00E62398">
        <w:t>€</w:t>
      </w:r>
      <w:r w:rsidR="006D3D8E">
        <w:t>42 million</w:t>
      </w:r>
      <w:r w:rsidR="00A849C0">
        <w:t>)</w:t>
      </w:r>
      <w:r w:rsidR="006D3D8E">
        <w:t xml:space="preserve"> will be directed at improving housing conditions for marginalised groups, including Roma and improving modern social services</w:t>
      </w:r>
      <w:r w:rsidR="007C5D6B">
        <w:t>.</w:t>
      </w:r>
      <w:r w:rsidR="006D3D8E">
        <w:rPr>
          <w:rStyle w:val="FootnoteReference"/>
        </w:rPr>
        <w:footnoteReference w:id="155"/>
      </w:r>
    </w:p>
    <w:p w14:paraId="63CF7D06" w14:textId="77777777" w:rsidR="00833C5D" w:rsidRPr="009C28A5" w:rsidRDefault="00833C5D" w:rsidP="00833C5D">
      <w:pPr>
        <w:pStyle w:val="FRABodyText"/>
        <w:rPr>
          <w:rFonts w:eastAsiaTheme="minorHAnsi"/>
          <w:b/>
        </w:rPr>
      </w:pPr>
    </w:p>
    <w:p w14:paraId="303278BA" w14:textId="77777777" w:rsidR="00F106E0" w:rsidRDefault="00F106E0" w:rsidP="008E576F">
      <w:pPr>
        <w:numPr>
          <w:ilvl w:val="0"/>
          <w:numId w:val="6"/>
        </w:numPr>
        <w:spacing w:line="276" w:lineRule="auto"/>
        <w:rPr>
          <w:b/>
        </w:rPr>
      </w:pPr>
      <w:r w:rsidRPr="00F106E0">
        <w:rPr>
          <w:b/>
        </w:rPr>
        <w:t xml:space="preserve">Third-Country Nationals </w:t>
      </w:r>
    </w:p>
    <w:p w14:paraId="61FE0D21" w14:textId="3E3CA002" w:rsidR="008D7278" w:rsidRPr="00FD2D7C" w:rsidRDefault="00805865" w:rsidP="0032208C">
      <w:pPr>
        <w:rPr>
          <w:lang w:val="bg-BG"/>
        </w:rPr>
      </w:pPr>
      <w:r>
        <w:lastRenderedPageBreak/>
        <w:t>T</w:t>
      </w:r>
      <w:r w:rsidR="00AA68A2">
        <w:t xml:space="preserve">he </w:t>
      </w:r>
      <w:r w:rsidR="00954389">
        <w:t>national migration and integration strategy</w:t>
      </w:r>
      <w:r w:rsidR="005E5E3C">
        <w:rPr>
          <w:rStyle w:val="FootnoteReference"/>
        </w:rPr>
        <w:footnoteReference w:id="156"/>
      </w:r>
      <w:r w:rsidR="00AA68A2">
        <w:t xml:space="preserve"> </w:t>
      </w:r>
      <w:r w:rsidR="008D7278">
        <w:t>aims to contribute to the better reali</w:t>
      </w:r>
      <w:r w:rsidR="002004FB">
        <w:t>s</w:t>
      </w:r>
      <w:r w:rsidR="008D7278">
        <w:t>ation of the right to asylum and international protection and improving the social inclusion and integration of third-country nationals and persons having rec</w:t>
      </w:r>
      <w:r w:rsidR="009F0AF4">
        <w:t xml:space="preserve">eived international protection. The Strategy is operationalized in annual action plans. </w:t>
      </w:r>
      <w:r w:rsidR="008D7278">
        <w:t xml:space="preserve"> </w:t>
      </w:r>
    </w:p>
    <w:p w14:paraId="1B4E3E74" w14:textId="01138B33" w:rsidR="00F106E0" w:rsidRDefault="001C78D0" w:rsidP="0032208C">
      <w:pPr>
        <w:rPr>
          <w:lang w:val="bg-BG"/>
        </w:rPr>
      </w:pPr>
      <w:r>
        <w:t>T</w:t>
      </w:r>
      <w:r w:rsidR="00FD2D7C">
        <w:t xml:space="preserve">hird-country national victims of trafficking are dealt with in </w:t>
      </w:r>
      <w:r w:rsidR="00C33B82">
        <w:t>the national referral mechanism for victims of trafficking</w:t>
      </w:r>
      <w:r w:rsidR="00CB2A45">
        <w:rPr>
          <w:lang w:val="bg-BG"/>
        </w:rPr>
        <w:t>.</w:t>
      </w:r>
      <w:r w:rsidR="00C33B82">
        <w:rPr>
          <w:rStyle w:val="FootnoteReference"/>
        </w:rPr>
        <w:footnoteReference w:id="157"/>
      </w:r>
      <w:r w:rsidR="00CB2A45">
        <w:rPr>
          <w:lang w:val="bg-BG"/>
        </w:rPr>
        <w:t xml:space="preserve"> </w:t>
      </w:r>
      <w:r w:rsidR="00CB2A45">
        <w:t xml:space="preserve">Foreign victims </w:t>
      </w:r>
      <w:r w:rsidR="00443C6A">
        <w:t xml:space="preserve">occupy special sections </w:t>
      </w:r>
      <w:r w:rsidR="008E32D7">
        <w:t xml:space="preserve">of the </w:t>
      </w:r>
      <w:r w:rsidR="002004FB">
        <w:t>standard operating procedures</w:t>
      </w:r>
      <w:r>
        <w:t xml:space="preserve"> therein</w:t>
      </w:r>
      <w:r w:rsidR="002004FB">
        <w:t>,</w:t>
      </w:r>
      <w:r w:rsidR="008E32D7">
        <w:t xml:space="preserve"> with regard to their identification</w:t>
      </w:r>
      <w:r w:rsidR="0083665F">
        <w:t>, referral, support</w:t>
      </w:r>
      <w:r w:rsidR="002004FB">
        <w:t>,</w:t>
      </w:r>
      <w:r w:rsidR="0083665F">
        <w:t xml:space="preserve"> protection and reintegration. </w:t>
      </w:r>
      <w:r w:rsidR="002203F4">
        <w:t>Policy challenges</w:t>
      </w:r>
      <w:r w:rsidR="00CE523F">
        <w:t>, and thus vulnerability factors,</w:t>
      </w:r>
      <w:r w:rsidR="002203F4">
        <w:t xml:space="preserve"> </w:t>
      </w:r>
      <w:r w:rsidR="00CE523F">
        <w:t>include co-ordination and co-operation of institutions and NGOs both nationally and transnationally</w:t>
      </w:r>
      <w:r w:rsidR="002346FF">
        <w:t>,</w:t>
      </w:r>
      <w:r w:rsidR="009972D8">
        <w:t xml:space="preserve"> difficulties in identifying and supporting victims of trafficking among</w:t>
      </w:r>
      <w:r>
        <w:t xml:space="preserve"> foreigners</w:t>
      </w:r>
      <w:r w:rsidR="002346FF">
        <w:t>, interpretation and translation</w:t>
      </w:r>
      <w:r w:rsidR="002004FB">
        <w:t>, as well as legal aid,</w:t>
      </w:r>
      <w:r w:rsidR="002346FF">
        <w:t xml:space="preserve"> throughout criminal proceedings</w:t>
      </w:r>
      <w:r w:rsidR="00CE523F">
        <w:t>.</w:t>
      </w:r>
      <w:r w:rsidR="002346FF">
        <w:t xml:space="preserve"> </w:t>
      </w:r>
      <w:r w:rsidR="00CE523F">
        <w:t xml:space="preserve"> </w:t>
      </w:r>
      <w:r w:rsidR="008E32D7">
        <w:t xml:space="preserve"> </w:t>
      </w:r>
      <w:r w:rsidR="00CB2A45">
        <w:rPr>
          <w:lang w:val="bg-BG"/>
        </w:rPr>
        <w:t xml:space="preserve"> </w:t>
      </w:r>
    </w:p>
    <w:p w14:paraId="4ED12A1C" w14:textId="71EDEDBB" w:rsidR="002346FF" w:rsidRDefault="002346FF" w:rsidP="0032208C">
      <w:r>
        <w:t xml:space="preserve">Foreign victims are also dealt with in the National Strategy for Combatting Trafficking in Human Beings 2017-2021 </w:t>
      </w:r>
      <w:r w:rsidRPr="002346FF">
        <w:rPr>
          <w:i/>
        </w:rPr>
        <w:t>(</w:t>
      </w:r>
      <w:r w:rsidRPr="002346FF">
        <w:rPr>
          <w:i/>
          <w:lang w:val="bg-BG"/>
        </w:rPr>
        <w:t>Национална стратегия за борба с трафика на хора 2017-2021</w:t>
      </w:r>
      <w:r w:rsidRPr="002346FF">
        <w:rPr>
          <w:i/>
        </w:rPr>
        <w:t>)</w:t>
      </w:r>
      <w:r w:rsidR="001C78D0">
        <w:t>,</w:t>
      </w:r>
      <w:r>
        <w:rPr>
          <w:rStyle w:val="FootnoteReference"/>
          <w:lang w:val="bg-BG"/>
        </w:rPr>
        <w:footnoteReference w:id="158"/>
      </w:r>
      <w:r>
        <w:t xml:space="preserve"> </w:t>
      </w:r>
      <w:r w:rsidR="001C78D0">
        <w:t>concerning</w:t>
      </w:r>
      <w:r w:rsidR="00814103">
        <w:t xml:space="preserve"> their timely identification and comprehensive support and protection. A particular challenge is the identification of victims of exploitation and trafficking among migrant communities and specially adapted information campaigns and procedures. Special attention is paid to unaccompanied children as a group particularly vulnerable to trafficking. </w:t>
      </w:r>
    </w:p>
    <w:p w14:paraId="79A8EAB9" w14:textId="6A2B288B" w:rsidR="00A07068" w:rsidRDefault="00A07068" w:rsidP="0032208C">
      <w:r>
        <w:t>Specific vulnerabilities of migrant and refugee children, regarding</w:t>
      </w:r>
      <w:r>
        <w:rPr>
          <w:lang w:val="bg-BG"/>
        </w:rPr>
        <w:t xml:space="preserve"> </w:t>
      </w:r>
      <w:r>
        <w:t xml:space="preserve">access to education, healthcare, social support and representation, are dealt with by the national children’s strategies both for 2008-2018 and the draft for 2019-2030 (see section on children at risk). </w:t>
      </w:r>
    </w:p>
    <w:p w14:paraId="3416F7ED" w14:textId="14C615E8" w:rsidR="00DC37DB" w:rsidRPr="00DC37DB" w:rsidRDefault="00DC37DB" w:rsidP="0032208C">
      <w:pPr>
        <w:rPr>
          <w:lang w:val="bg-BG"/>
        </w:rPr>
      </w:pPr>
      <w:r>
        <w:t>Measures are financed by EU funds like AMIF</w:t>
      </w:r>
      <w:r>
        <w:rPr>
          <w:lang w:val="bg-BG"/>
        </w:rPr>
        <w:t>.</w:t>
      </w:r>
      <w:r>
        <w:rPr>
          <w:rStyle w:val="FootnoteReference"/>
          <w:lang w:val="bg-BG"/>
        </w:rPr>
        <w:footnoteReference w:id="159"/>
      </w:r>
    </w:p>
    <w:p w14:paraId="0B84D96E" w14:textId="77777777" w:rsidR="00814103" w:rsidRPr="002346FF" w:rsidRDefault="00814103" w:rsidP="0032208C"/>
    <w:p w14:paraId="23BEBB8A" w14:textId="77777777" w:rsidR="00F106E0" w:rsidRDefault="00F106E0" w:rsidP="008E576F">
      <w:pPr>
        <w:numPr>
          <w:ilvl w:val="0"/>
          <w:numId w:val="6"/>
        </w:numPr>
        <w:spacing w:line="276" w:lineRule="auto"/>
        <w:rPr>
          <w:b/>
        </w:rPr>
      </w:pPr>
      <w:r w:rsidRPr="00F106E0">
        <w:rPr>
          <w:b/>
        </w:rPr>
        <w:t>Emigrant Household Members</w:t>
      </w:r>
    </w:p>
    <w:p w14:paraId="071C82CE" w14:textId="270B6335" w:rsidR="00470631" w:rsidRDefault="00CA36D5" w:rsidP="00F17EEC">
      <w:pPr>
        <w:pStyle w:val="FRABodyText"/>
      </w:pPr>
      <w:r w:rsidRPr="00384590">
        <w:t xml:space="preserve">Although the </w:t>
      </w:r>
      <w:r w:rsidR="008D7278" w:rsidRPr="00384590">
        <w:t xml:space="preserve">National Strategy on Migration, Asylum and Integration 2015-2020 </w:t>
      </w:r>
      <w:r w:rsidR="008D7278" w:rsidRPr="00384590">
        <w:rPr>
          <w:i/>
        </w:rPr>
        <w:t>(Национална стратегия в областта на миграцията, убежището и интеграцията 2015-2020 г.)</w:t>
      </w:r>
      <w:r w:rsidR="008D7278" w:rsidRPr="00384590">
        <w:rPr>
          <w:rStyle w:val="FootnoteReference"/>
          <w:rFonts w:eastAsiaTheme="minorHAnsi"/>
          <w:lang w:val="en-US"/>
        </w:rPr>
        <w:footnoteReference w:id="160"/>
      </w:r>
      <w:r w:rsidRPr="00384590">
        <w:t xml:space="preserve"> </w:t>
      </w:r>
      <w:r w:rsidR="00384590" w:rsidRPr="00384590">
        <w:t xml:space="preserve">is concerned about motivating emigrants to return, </w:t>
      </w:r>
      <w:r w:rsidR="008901B7">
        <w:t xml:space="preserve">challenges before emigrant household members </w:t>
      </w:r>
      <w:r w:rsidR="00DA57DA">
        <w:t>are mainly dealt with in mainstream documents</w:t>
      </w:r>
      <w:r w:rsidR="00470631">
        <w:t xml:space="preserve">, seen in the light of the large group of Bulgarian emigrants. </w:t>
      </w:r>
    </w:p>
    <w:p w14:paraId="2B1A6514" w14:textId="77777777" w:rsidR="00FE239B" w:rsidRDefault="00FE239B" w:rsidP="00F17EEC">
      <w:pPr>
        <w:pStyle w:val="FRABodyText"/>
      </w:pPr>
    </w:p>
    <w:p w14:paraId="2691D83D" w14:textId="7A2B3860" w:rsidR="00E47894" w:rsidRDefault="00233933" w:rsidP="00F17EEC">
      <w:pPr>
        <w:pStyle w:val="FRABodyText"/>
      </w:pPr>
      <w:r>
        <w:lastRenderedPageBreak/>
        <w:t>The National Strategy for the Child (2008-2018) (</w:t>
      </w:r>
      <w:r>
        <w:rPr>
          <w:i/>
          <w:lang w:val="bg-BG"/>
        </w:rPr>
        <w:t>Национална стратегия за детето (2008-2018)</w:t>
      </w:r>
      <w:r>
        <w:rPr>
          <w:lang w:val="bg-BG"/>
        </w:rPr>
        <w:t>)</w:t>
      </w:r>
      <w:r>
        <w:rPr>
          <w:rStyle w:val="FootnoteReference"/>
          <w:lang w:val="en-US"/>
        </w:rPr>
        <w:footnoteReference w:id="161"/>
      </w:r>
      <w:r w:rsidR="00DA57DA">
        <w:t xml:space="preserve"> </w:t>
      </w:r>
      <w:r w:rsidR="00497534">
        <w:t xml:space="preserve">mentions emigration </w:t>
      </w:r>
      <w:r w:rsidR="00FE239B">
        <w:t xml:space="preserve">in relation to </w:t>
      </w:r>
      <w:r w:rsidR="00194EA7">
        <w:t xml:space="preserve">a significant amount of children leaving for other countries </w:t>
      </w:r>
      <w:r w:rsidR="00194EA7" w:rsidRPr="00194EA7">
        <w:rPr>
          <w:b/>
        </w:rPr>
        <w:t>with</w:t>
      </w:r>
      <w:r w:rsidR="00194EA7">
        <w:rPr>
          <w:b/>
        </w:rPr>
        <w:t xml:space="preserve"> </w:t>
      </w:r>
      <w:r w:rsidR="00194EA7">
        <w:t>their parents</w:t>
      </w:r>
      <w:r w:rsidR="00E47894">
        <w:t>, and dropping out of school</w:t>
      </w:r>
      <w:r w:rsidR="00194EA7">
        <w:t xml:space="preserve">. </w:t>
      </w:r>
      <w:r w:rsidR="00323F47">
        <w:t>General vulnerability risk</w:t>
      </w:r>
      <w:r w:rsidR="00A23F80">
        <w:t>s</w:t>
      </w:r>
      <w:r w:rsidR="00323F47">
        <w:t xml:space="preserve"> for children, potentially exacerbated </w:t>
      </w:r>
      <w:r w:rsidR="00FB2500">
        <w:t xml:space="preserve">by parents’ emigration abroad and them being raised by other relatives, are looked at in the section on children at risk. </w:t>
      </w:r>
      <w:r w:rsidR="00E47894">
        <w:t>The new draft National Strategy for the Child for 2019-2030,</w:t>
      </w:r>
      <w:r w:rsidR="00E47894">
        <w:rPr>
          <w:rStyle w:val="FootnoteReference"/>
          <w:lang w:val="en-US"/>
        </w:rPr>
        <w:footnoteReference w:id="162"/>
      </w:r>
      <w:r w:rsidR="00E47894">
        <w:t xml:space="preserve"> pays significantly more structured attention </w:t>
      </w:r>
      <w:r w:rsidR="00F17EEC">
        <w:t xml:space="preserve">to </w:t>
      </w:r>
      <w:r w:rsidR="00A23F80">
        <w:t>such</w:t>
      </w:r>
      <w:r w:rsidR="00F17EEC">
        <w:t xml:space="preserve"> children</w:t>
      </w:r>
      <w:r w:rsidR="00A23F80">
        <w:t xml:space="preserve"> and their</w:t>
      </w:r>
      <w:r w:rsidR="00F17EEC">
        <w:t xml:space="preserve"> ‘loneliness’ as a new social factor. The document maintains that the transformation of traditional familial relations hinder the compensation of such loneliness, while the public environment remains poorly developed to produce initiatives addressing that problem</w:t>
      </w:r>
      <w:r w:rsidR="00E47894" w:rsidRPr="00E47894">
        <w:t>.</w:t>
      </w:r>
    </w:p>
    <w:p w14:paraId="0E5D8065" w14:textId="77777777" w:rsidR="00F17EEC" w:rsidRDefault="00F17EEC" w:rsidP="00384590"/>
    <w:p w14:paraId="516E975A" w14:textId="77777777" w:rsidR="00F106E0" w:rsidRPr="00F106E0" w:rsidRDefault="00F106E0" w:rsidP="008E576F">
      <w:pPr>
        <w:numPr>
          <w:ilvl w:val="0"/>
          <w:numId w:val="6"/>
        </w:numPr>
        <w:spacing w:line="276" w:lineRule="auto"/>
        <w:rPr>
          <w:b/>
        </w:rPr>
      </w:pPr>
      <w:r w:rsidRPr="00F106E0">
        <w:rPr>
          <w:b/>
        </w:rPr>
        <w:t xml:space="preserve">Victims of Domestic Violence </w:t>
      </w:r>
    </w:p>
    <w:p w14:paraId="3F6F9E95" w14:textId="58A4AD56" w:rsidR="00777C49" w:rsidRDefault="00E241D1" w:rsidP="0032208C">
      <w:pPr>
        <w:pStyle w:val="FRABodyText"/>
        <w:rPr>
          <w:lang w:val="en-US"/>
        </w:rPr>
      </w:pPr>
      <w:r>
        <w:rPr>
          <w:lang w:val="en-US"/>
        </w:rPr>
        <w:t xml:space="preserve">Each year, Bulgaria operationalises the efforts of its institutions and NGOs </w:t>
      </w:r>
      <w:r w:rsidR="001D56A4">
        <w:rPr>
          <w:lang w:val="en-US"/>
        </w:rPr>
        <w:t>in countering domestic violence in a national programme for prevention and protection</w:t>
      </w:r>
      <w:r w:rsidR="005F06C6">
        <w:rPr>
          <w:lang w:val="en-US"/>
        </w:rPr>
        <w:t>.</w:t>
      </w:r>
      <w:r w:rsidR="002915A3">
        <w:rPr>
          <w:rStyle w:val="FootnoteReference"/>
          <w:lang w:val="en-US"/>
        </w:rPr>
        <w:footnoteReference w:id="163"/>
      </w:r>
      <w:r w:rsidR="009A6D9E">
        <w:rPr>
          <w:lang w:val="en-US"/>
        </w:rPr>
        <w:t xml:space="preserve"> </w:t>
      </w:r>
      <w:r w:rsidR="00FE239B">
        <w:rPr>
          <w:lang w:val="en-US"/>
        </w:rPr>
        <w:t>It</w:t>
      </w:r>
      <w:r w:rsidR="002C4266">
        <w:rPr>
          <w:lang w:val="en-US"/>
        </w:rPr>
        <w:t xml:space="preserve"> points to the importance of the co-ordination of stakeholders in countering the phenomenon of domestic violence, thus making the lack </w:t>
      </w:r>
      <w:r w:rsidR="00FE239B">
        <w:rPr>
          <w:lang w:val="en-US"/>
        </w:rPr>
        <w:t xml:space="preserve">thereof </w:t>
      </w:r>
      <w:r w:rsidR="002C4266">
        <w:rPr>
          <w:lang w:val="en-US"/>
        </w:rPr>
        <w:t xml:space="preserve">a vulnerability factor. </w:t>
      </w:r>
      <w:r w:rsidR="00777C49">
        <w:rPr>
          <w:lang w:val="en-US"/>
        </w:rPr>
        <w:t>The prevention section aims at raising the awareness and sensitisation of society towards domestic violence, leading to better recognition and zero tolerance</w:t>
      </w:r>
      <w:r w:rsidR="005F06C6">
        <w:rPr>
          <w:lang w:val="en-US"/>
        </w:rPr>
        <w:t>, lower sensitivity being an obvious vulnerability factor</w:t>
      </w:r>
      <w:r w:rsidR="00CD766B">
        <w:rPr>
          <w:lang w:val="en-US"/>
        </w:rPr>
        <w:t>. Other potential vulnerability factors the programme tackles are (low level of) training and qualification of relevant stakeholders</w:t>
      </w:r>
      <w:r w:rsidR="002004FB">
        <w:rPr>
          <w:lang w:val="en-US"/>
        </w:rPr>
        <w:t>,</w:t>
      </w:r>
      <w:r w:rsidR="00CD766B">
        <w:rPr>
          <w:lang w:val="en-US"/>
        </w:rPr>
        <w:t xml:space="preserve"> and (lack of) high quality protection and victim services.</w:t>
      </w:r>
      <w:r w:rsidR="00777C49">
        <w:rPr>
          <w:lang w:val="en-US"/>
        </w:rPr>
        <w:t xml:space="preserve"> </w:t>
      </w:r>
    </w:p>
    <w:p w14:paraId="1AEF0979" w14:textId="77777777" w:rsidR="005D7249" w:rsidRDefault="005D7249" w:rsidP="0032208C">
      <w:pPr>
        <w:pStyle w:val="FRABodyText"/>
        <w:rPr>
          <w:lang w:val="en-US"/>
        </w:rPr>
      </w:pPr>
    </w:p>
    <w:p w14:paraId="6630C89D" w14:textId="7EAF12DD" w:rsidR="0014509A" w:rsidRDefault="00091340" w:rsidP="0032208C">
      <w:pPr>
        <w:pStyle w:val="FRABodyText"/>
        <w:rPr>
          <w:lang w:val="en-US"/>
        </w:rPr>
      </w:pPr>
      <w:r>
        <w:rPr>
          <w:lang w:val="en-US"/>
        </w:rPr>
        <w:t xml:space="preserve">A very particular policy guidance, related to criminal procedure against acts of domestic violence, </w:t>
      </w:r>
      <w:r w:rsidR="001651AD">
        <w:rPr>
          <w:lang w:val="en-US"/>
        </w:rPr>
        <w:t xml:space="preserve">is contained in the guidelines of the Prosecutor General </w:t>
      </w:r>
      <w:r w:rsidR="001651AD" w:rsidRPr="001651AD">
        <w:rPr>
          <w:i/>
          <w:lang w:val="en-US"/>
        </w:rPr>
        <w:t>(</w:t>
      </w:r>
      <w:r w:rsidR="001651AD" w:rsidRPr="001651AD">
        <w:rPr>
          <w:i/>
          <w:lang w:val="bg-BG"/>
        </w:rPr>
        <w:t>Главен прокурор</w:t>
      </w:r>
      <w:r w:rsidR="001651AD" w:rsidRPr="001651AD">
        <w:rPr>
          <w:i/>
          <w:lang w:val="en-US"/>
        </w:rPr>
        <w:t>)</w:t>
      </w:r>
      <w:r w:rsidR="001651AD">
        <w:rPr>
          <w:i/>
          <w:lang w:val="bg-BG"/>
        </w:rPr>
        <w:t xml:space="preserve"> </w:t>
      </w:r>
      <w:r w:rsidR="001651AD">
        <w:rPr>
          <w:lang w:val="en-US"/>
        </w:rPr>
        <w:t>on cases of domestic violence.</w:t>
      </w:r>
      <w:r w:rsidR="001651AD">
        <w:rPr>
          <w:rStyle w:val="FootnoteReference"/>
          <w:lang w:val="en-US"/>
        </w:rPr>
        <w:footnoteReference w:id="164"/>
      </w:r>
      <w:r w:rsidR="00CC0E49">
        <w:rPr>
          <w:lang w:val="en-US"/>
        </w:rPr>
        <w:t xml:space="preserve"> </w:t>
      </w:r>
      <w:r w:rsidR="002004FB">
        <w:rPr>
          <w:lang w:val="en-US"/>
        </w:rPr>
        <w:t>They emphasise</w:t>
      </w:r>
      <w:r w:rsidR="00CC0E49">
        <w:rPr>
          <w:lang w:val="en-US"/>
        </w:rPr>
        <w:t xml:space="preserve"> on the speediness of measures to be taken, guide prosecutors on the sequence of steps to be taken and rules on measures for co-ordination of prosecutors and other institutions involved. Thus, again, the lack of standardi</w:t>
      </w:r>
      <w:r w:rsidR="002004FB">
        <w:rPr>
          <w:lang w:val="en-US"/>
        </w:rPr>
        <w:t>s</w:t>
      </w:r>
      <w:r w:rsidR="00CC0E49">
        <w:rPr>
          <w:lang w:val="en-US"/>
        </w:rPr>
        <w:t xml:space="preserve">ed approach and co-ordination of institutions is seen as </w:t>
      </w:r>
      <w:r w:rsidR="0014509A">
        <w:rPr>
          <w:lang w:val="en-US"/>
        </w:rPr>
        <w:t xml:space="preserve">a major vulnerability factor. </w:t>
      </w:r>
    </w:p>
    <w:p w14:paraId="58158E77" w14:textId="77777777" w:rsidR="0014509A" w:rsidRDefault="0014509A" w:rsidP="0032208C">
      <w:pPr>
        <w:pStyle w:val="FRABodyText"/>
        <w:rPr>
          <w:lang w:val="en-US"/>
        </w:rPr>
      </w:pPr>
    </w:p>
    <w:p w14:paraId="40F22FC6" w14:textId="07D3D110" w:rsidR="007779ED" w:rsidRDefault="00A21051" w:rsidP="0032208C">
      <w:pPr>
        <w:pStyle w:val="FRABodyText"/>
        <w:rPr>
          <w:lang w:val="en-US"/>
        </w:rPr>
      </w:pPr>
      <w:r>
        <w:rPr>
          <w:lang w:val="en-US"/>
        </w:rPr>
        <w:t xml:space="preserve">Bulgaria also has </w:t>
      </w:r>
      <w:r w:rsidR="007779ED">
        <w:rPr>
          <w:lang w:val="en-US"/>
        </w:rPr>
        <w:t xml:space="preserve">a draft </w:t>
      </w:r>
      <w:r w:rsidR="002004FB">
        <w:rPr>
          <w:lang w:val="en-US"/>
        </w:rPr>
        <w:t>c</w:t>
      </w:r>
      <w:r w:rsidR="007779ED">
        <w:rPr>
          <w:lang w:val="en-US"/>
        </w:rPr>
        <w:t>o-ordination mechanism</w:t>
      </w:r>
      <w:r>
        <w:rPr>
          <w:lang w:val="en-US"/>
        </w:rPr>
        <w:t xml:space="preserve"> for help and support to victims of domestic violence</w:t>
      </w:r>
      <w:r w:rsidR="007779ED">
        <w:rPr>
          <w:lang w:val="en-US"/>
        </w:rPr>
        <w:t>,</w:t>
      </w:r>
      <w:r w:rsidR="007779ED">
        <w:rPr>
          <w:rStyle w:val="FootnoteReference"/>
          <w:lang w:val="en-US"/>
        </w:rPr>
        <w:footnoteReference w:id="165"/>
      </w:r>
      <w:r w:rsidR="007779ED">
        <w:rPr>
          <w:lang w:val="en-US"/>
        </w:rPr>
        <w:t xml:space="preserve"> which has not been adopted yet due to diverse institutional obstacles. </w:t>
      </w:r>
      <w:r w:rsidR="005F06C6">
        <w:rPr>
          <w:lang w:val="en-US"/>
        </w:rPr>
        <w:t xml:space="preserve">The draft again </w:t>
      </w:r>
      <w:r w:rsidR="005F06C6">
        <w:rPr>
          <w:lang w:val="en-US"/>
        </w:rPr>
        <w:lastRenderedPageBreak/>
        <w:t>presents</w:t>
      </w:r>
      <w:r w:rsidR="00F34B33">
        <w:rPr>
          <w:lang w:val="en-US"/>
        </w:rPr>
        <w:t xml:space="preserve"> the (lack of) co-ordination of institutions and service providers</w:t>
      </w:r>
      <w:r w:rsidR="00FE239B">
        <w:rPr>
          <w:lang w:val="en-US"/>
        </w:rPr>
        <w:t>, as well as the poor development of mechanisms for their social inclusion</w:t>
      </w:r>
      <w:r w:rsidR="00F34B33">
        <w:rPr>
          <w:lang w:val="en-US"/>
        </w:rPr>
        <w:t xml:space="preserve"> as major vulnerability factor</w:t>
      </w:r>
      <w:r w:rsidR="00FE239B">
        <w:rPr>
          <w:lang w:val="en-US"/>
        </w:rPr>
        <w:t>s</w:t>
      </w:r>
      <w:r w:rsidR="00F34B33">
        <w:rPr>
          <w:lang w:val="en-US"/>
        </w:rPr>
        <w:t xml:space="preserve">. </w:t>
      </w:r>
    </w:p>
    <w:p w14:paraId="20EA37C0" w14:textId="77777777" w:rsidR="00F34B33" w:rsidRDefault="00F34B33" w:rsidP="0032208C">
      <w:pPr>
        <w:pStyle w:val="FRABodyText"/>
        <w:rPr>
          <w:lang w:val="en-US"/>
        </w:rPr>
      </w:pPr>
    </w:p>
    <w:p w14:paraId="6230C2F5" w14:textId="443847F6" w:rsidR="004F5FEA" w:rsidRPr="00632499" w:rsidRDefault="003E686B" w:rsidP="0032208C">
      <w:pPr>
        <w:pStyle w:val="FRABodyText"/>
        <w:rPr>
          <w:lang w:val="en-US"/>
        </w:rPr>
      </w:pPr>
      <w:r>
        <w:rPr>
          <w:lang w:val="en-US"/>
        </w:rPr>
        <w:t xml:space="preserve">In terms of resource allocation, </w:t>
      </w:r>
      <w:r w:rsidR="00F33FE6">
        <w:rPr>
          <w:lang w:val="en-US"/>
        </w:rPr>
        <w:t xml:space="preserve">the Protection against Domestic Violence Act contains a special provision on financing </w:t>
      </w:r>
      <w:r w:rsidR="00DC2D20">
        <w:rPr>
          <w:lang w:val="en-US"/>
        </w:rPr>
        <w:t xml:space="preserve">programmes for prevention and protection against domestic violence, as well as for victim services. Each year </w:t>
      </w:r>
      <w:r w:rsidR="00F27DC6">
        <w:rPr>
          <w:lang w:val="en-US"/>
        </w:rPr>
        <w:t>the state budget allocates to the Ministry of Justice (MoJ)</w:t>
      </w:r>
      <w:r w:rsidR="00DC2D20">
        <w:rPr>
          <w:lang w:val="en-US"/>
        </w:rPr>
        <w:t xml:space="preserve"> </w:t>
      </w:r>
      <w:r w:rsidR="00F27DC6">
        <w:rPr>
          <w:lang w:val="en-US"/>
        </w:rPr>
        <w:t>(</w:t>
      </w:r>
      <w:r w:rsidR="00F27DC6" w:rsidRPr="00F27DC6">
        <w:rPr>
          <w:i/>
          <w:lang w:val="bg-BG"/>
        </w:rPr>
        <w:t>Министерство на правосъдието</w:t>
      </w:r>
      <w:r w:rsidR="00F27DC6">
        <w:rPr>
          <w:lang w:val="bg-BG"/>
        </w:rPr>
        <w:t>, МП</w:t>
      </w:r>
      <w:r w:rsidR="00F27DC6">
        <w:rPr>
          <w:lang w:val="en-US"/>
        </w:rPr>
        <w:t>)</w:t>
      </w:r>
      <w:r w:rsidR="00F27DC6">
        <w:rPr>
          <w:lang w:val="bg-BG"/>
        </w:rPr>
        <w:t xml:space="preserve"> </w:t>
      </w:r>
      <w:r w:rsidR="0069259D">
        <w:rPr>
          <w:lang w:val="en-US"/>
        </w:rPr>
        <w:t>funds for financing projects of NGOs</w:t>
      </w:r>
      <w:r w:rsidR="005F06C6">
        <w:rPr>
          <w:lang w:val="en-US"/>
        </w:rPr>
        <w:t xml:space="preserve"> in the above areas</w:t>
      </w:r>
      <w:r w:rsidR="0069259D">
        <w:rPr>
          <w:lang w:val="en-US"/>
        </w:rPr>
        <w:t xml:space="preserve">. </w:t>
      </w:r>
      <w:r w:rsidR="00632499">
        <w:rPr>
          <w:lang w:val="en-US"/>
        </w:rPr>
        <w:t>The latest call for proposals of the MoJ stated the total sum to be allocated amounted to BGN</w:t>
      </w:r>
      <w:r w:rsidR="004E6D84">
        <w:rPr>
          <w:lang w:val="en-US"/>
        </w:rPr>
        <w:t xml:space="preserve"> </w:t>
      </w:r>
      <w:r w:rsidR="00632499">
        <w:rPr>
          <w:lang w:val="en-US"/>
        </w:rPr>
        <w:t>450,000.</w:t>
      </w:r>
      <w:r w:rsidR="00632499">
        <w:rPr>
          <w:rStyle w:val="FootnoteReference"/>
          <w:lang w:val="en-US"/>
        </w:rPr>
        <w:footnoteReference w:id="166"/>
      </w:r>
      <w:r w:rsidR="00632499">
        <w:rPr>
          <w:lang w:val="en-US"/>
        </w:rPr>
        <w:t xml:space="preserve"> </w:t>
      </w:r>
    </w:p>
    <w:p w14:paraId="77BBACEA" w14:textId="77777777" w:rsidR="00C03F96" w:rsidRDefault="00C03F96" w:rsidP="0032208C">
      <w:pPr>
        <w:pStyle w:val="FRABodyText"/>
      </w:pPr>
    </w:p>
    <w:p w14:paraId="19F44FE3" w14:textId="77777777" w:rsidR="00F106E0" w:rsidRDefault="00F106E0" w:rsidP="008E576F">
      <w:pPr>
        <w:numPr>
          <w:ilvl w:val="0"/>
          <w:numId w:val="6"/>
        </w:numPr>
        <w:spacing w:line="276" w:lineRule="auto"/>
        <w:rPr>
          <w:b/>
        </w:rPr>
      </w:pPr>
      <w:r w:rsidRPr="00F106E0">
        <w:rPr>
          <w:b/>
        </w:rPr>
        <w:t>LGBTQ+ Persons</w:t>
      </w:r>
    </w:p>
    <w:p w14:paraId="061A0145" w14:textId="019C8D9D" w:rsidR="00A17DB5" w:rsidRDefault="00A17DB5" w:rsidP="0032208C">
      <w:pPr>
        <w:pStyle w:val="FRABodyText"/>
        <w:rPr>
          <w:lang w:val="en-US"/>
        </w:rPr>
      </w:pPr>
      <w:r>
        <w:rPr>
          <w:lang w:val="en-US"/>
        </w:rPr>
        <w:t>No public policy documents have been found specially tackling the LGBTQ+ community.</w:t>
      </w:r>
      <w:r w:rsidR="00676698">
        <w:rPr>
          <w:lang w:val="en-US"/>
        </w:rPr>
        <w:t xml:space="preserve"> Most policy work has been done by NGOs in the form of research of equal access to </w:t>
      </w:r>
      <w:r w:rsidR="00BE66E9">
        <w:rPr>
          <w:lang w:val="en-US"/>
        </w:rPr>
        <w:t xml:space="preserve">rights and </w:t>
      </w:r>
      <w:r w:rsidR="00676698">
        <w:rPr>
          <w:lang w:val="en-US"/>
        </w:rPr>
        <w:t>services and prevention of hate speech and hate crime.</w:t>
      </w:r>
      <w:r w:rsidR="00676698">
        <w:rPr>
          <w:rStyle w:val="FootnoteReference"/>
          <w:lang w:val="en-US"/>
        </w:rPr>
        <w:footnoteReference w:id="167"/>
      </w:r>
      <w:r>
        <w:rPr>
          <w:lang w:val="en-US"/>
        </w:rPr>
        <w:t xml:space="preserve"> </w:t>
      </w:r>
    </w:p>
    <w:p w14:paraId="177FB6CD" w14:textId="77777777" w:rsidR="00CA41A8" w:rsidRPr="00A17DB5" w:rsidRDefault="00CA41A8" w:rsidP="0032208C">
      <w:pPr>
        <w:pStyle w:val="FRABodyText"/>
        <w:rPr>
          <w:lang w:val="en-US"/>
        </w:rPr>
      </w:pPr>
    </w:p>
    <w:p w14:paraId="197E5C7A" w14:textId="77777777" w:rsidR="00F106E0" w:rsidRDefault="00F106E0" w:rsidP="008E576F">
      <w:pPr>
        <w:numPr>
          <w:ilvl w:val="0"/>
          <w:numId w:val="6"/>
        </w:numPr>
        <w:spacing w:line="276" w:lineRule="auto"/>
        <w:rPr>
          <w:b/>
        </w:rPr>
      </w:pPr>
      <w:r w:rsidRPr="00F106E0">
        <w:rPr>
          <w:b/>
        </w:rPr>
        <w:t>Energy-poor Persons</w:t>
      </w:r>
    </w:p>
    <w:p w14:paraId="5E32913F" w14:textId="6938F9DE" w:rsidR="005605CA" w:rsidRPr="005605CA" w:rsidRDefault="005605CA" w:rsidP="0025214F">
      <w:pPr>
        <w:pStyle w:val="FRABodyText"/>
        <w:rPr>
          <w:shd w:val="clear" w:color="auto" w:fill="FFFFFF"/>
          <w:lang w:val="bg-BG"/>
        </w:rPr>
      </w:pPr>
      <w:r w:rsidRPr="005605CA">
        <w:rPr>
          <w:shd w:val="clear" w:color="auto" w:fill="FFFFFF"/>
        </w:rPr>
        <w:t>The National Energy Strategy of Bulgaria</w:t>
      </w:r>
      <w:r w:rsidRPr="00C1042C">
        <w:rPr>
          <w:rStyle w:val="FootnoteReference"/>
          <w:rFonts w:cstheme="minorHAnsi"/>
          <w:color w:val="000000"/>
          <w:shd w:val="clear" w:color="auto" w:fill="FFFFFF"/>
        </w:rPr>
        <w:footnoteReference w:id="168"/>
      </w:r>
      <w:r w:rsidRPr="005605CA">
        <w:rPr>
          <w:shd w:val="clear" w:color="auto" w:fill="FFFFFF"/>
        </w:rPr>
        <w:t xml:space="preserve"> </w:t>
      </w:r>
      <w:r w:rsidR="002A1F79">
        <w:rPr>
          <w:shd w:val="clear" w:color="auto" w:fill="FFFFFF"/>
        </w:rPr>
        <w:t>sets</w:t>
      </w:r>
      <w:r w:rsidR="00F06990">
        <w:rPr>
          <w:shd w:val="clear" w:color="auto" w:fill="FFFFFF"/>
        </w:rPr>
        <w:t xml:space="preserve"> as a main goal</w:t>
      </w:r>
      <w:r w:rsidRPr="005605CA">
        <w:rPr>
          <w:shd w:val="clear" w:color="auto" w:fill="FFFFFF"/>
        </w:rPr>
        <w:t xml:space="preserve"> energy efficiency, which will have positive effects on the fight against energy poverty. The Strategy explains that a </w:t>
      </w:r>
      <w:r w:rsidR="00F06990">
        <w:rPr>
          <w:shd w:val="clear" w:color="auto" w:fill="FFFFFF"/>
        </w:rPr>
        <w:t>number</w:t>
      </w:r>
      <w:r w:rsidRPr="005605CA">
        <w:rPr>
          <w:shd w:val="clear" w:color="auto" w:fill="FFFFFF"/>
        </w:rPr>
        <w:t xml:space="preserve"> of Bulgarian citizens struggle with their energy expenses</w:t>
      </w:r>
      <w:r w:rsidR="00F06990">
        <w:rPr>
          <w:shd w:val="clear" w:color="auto" w:fill="FFFFFF"/>
        </w:rPr>
        <w:t xml:space="preserve"> and</w:t>
      </w:r>
      <w:r w:rsidRPr="005605CA">
        <w:rPr>
          <w:shd w:val="clear" w:color="auto" w:fill="FFFFFF"/>
        </w:rPr>
        <w:t xml:space="preserve"> </w:t>
      </w:r>
      <w:r w:rsidR="00F06990">
        <w:rPr>
          <w:shd w:val="clear" w:color="auto" w:fill="FFFFFF"/>
        </w:rPr>
        <w:t>s</w:t>
      </w:r>
      <w:r w:rsidRPr="005605CA">
        <w:rPr>
          <w:shd w:val="clear" w:color="auto" w:fill="FFFFFF"/>
        </w:rPr>
        <w:t xml:space="preserve">upporting those citizens to decrease their energy consumption via an efficiency-based approach is most appropriate to solve this issue. In addition, building renovation can </w:t>
      </w:r>
      <w:r w:rsidR="00F06990">
        <w:rPr>
          <w:shd w:val="clear" w:color="auto" w:fill="FFFFFF"/>
        </w:rPr>
        <w:t xml:space="preserve">also </w:t>
      </w:r>
      <w:r w:rsidRPr="005605CA">
        <w:rPr>
          <w:shd w:val="clear" w:color="auto" w:fill="FFFFFF"/>
        </w:rPr>
        <w:t>improve energy efficiency</w:t>
      </w:r>
      <w:r w:rsidR="00F06990">
        <w:rPr>
          <w:shd w:val="clear" w:color="auto" w:fill="FFFFFF"/>
        </w:rPr>
        <w:t>, and thus contribute to solving energy poverty</w:t>
      </w:r>
      <w:r w:rsidRPr="005605CA">
        <w:rPr>
          <w:shd w:val="clear" w:color="auto" w:fill="FFFFFF"/>
        </w:rPr>
        <w:t xml:space="preserve">. </w:t>
      </w:r>
    </w:p>
    <w:p w14:paraId="54FB0F7A" w14:textId="77777777" w:rsidR="005605CA" w:rsidRDefault="005605CA" w:rsidP="0025214F">
      <w:pPr>
        <w:pStyle w:val="FRABodyText"/>
      </w:pPr>
    </w:p>
    <w:p w14:paraId="744F1385" w14:textId="5A962586" w:rsidR="005605CA" w:rsidRPr="005605CA" w:rsidRDefault="004808D6" w:rsidP="004808D6">
      <w:pPr>
        <w:pStyle w:val="FRABodyText"/>
        <w:rPr>
          <w:lang w:val="bg-BG"/>
        </w:rPr>
      </w:pPr>
      <w:r>
        <w:rPr>
          <w:lang w:val="en-US"/>
        </w:rPr>
        <w:t>The national anti-poverty and social inclusion strategy</w:t>
      </w:r>
      <w:r>
        <w:rPr>
          <w:rStyle w:val="FootnoteReference"/>
          <w:lang w:val="en-US"/>
        </w:rPr>
        <w:footnoteReference w:id="169"/>
      </w:r>
      <w:r>
        <w:rPr>
          <w:lang w:val="en-US"/>
        </w:rPr>
        <w:t xml:space="preserve"> </w:t>
      </w:r>
      <w:r w:rsidR="005605CA" w:rsidRPr="005605CA">
        <w:rPr>
          <w:shd w:val="clear" w:color="auto" w:fill="FFFFFF"/>
          <w:lang w:val="bg-BG"/>
        </w:rPr>
        <w:t xml:space="preserve">identifies poor people as a vulnerable group </w:t>
      </w:r>
      <w:r>
        <w:rPr>
          <w:shd w:val="clear" w:color="auto" w:fill="FFFFFF"/>
        </w:rPr>
        <w:t xml:space="preserve">and </w:t>
      </w:r>
      <w:r w:rsidR="005605CA" w:rsidRPr="005605CA">
        <w:rPr>
          <w:shd w:val="clear" w:color="auto" w:fill="FFFFFF"/>
        </w:rPr>
        <w:t xml:space="preserve">considers </w:t>
      </w:r>
      <w:r w:rsidR="005605CA">
        <w:t>payments of targeted heating allowance</w:t>
      </w:r>
      <w:r>
        <w:rPr>
          <w:rStyle w:val="tlid-translation"/>
          <w:lang w:val="en"/>
        </w:rPr>
        <w:t xml:space="preserve"> in its priority area on e</w:t>
      </w:r>
      <w:r w:rsidR="005605CA" w:rsidRPr="005605CA">
        <w:rPr>
          <w:bCs/>
        </w:rPr>
        <w:t>nsuring sustainable and adequate social transfers</w:t>
      </w:r>
      <w:r w:rsidR="005605CA">
        <w:t xml:space="preserve">. </w:t>
      </w:r>
    </w:p>
    <w:p w14:paraId="18ACBD8B" w14:textId="77777777" w:rsidR="005605CA" w:rsidRDefault="005605CA" w:rsidP="0025214F">
      <w:pPr>
        <w:pStyle w:val="FRABodyText"/>
      </w:pPr>
    </w:p>
    <w:p w14:paraId="35F04A73" w14:textId="0905BED3" w:rsidR="005605CA" w:rsidRPr="005605CA" w:rsidRDefault="00FC1139" w:rsidP="0025214F">
      <w:pPr>
        <w:pStyle w:val="FRABodyText"/>
        <w:rPr>
          <w:lang w:val="bg-BG"/>
        </w:rPr>
      </w:pPr>
      <w:r>
        <w:t xml:space="preserve">The </w:t>
      </w:r>
      <w:r w:rsidRPr="00C1042C">
        <w:t>Open Society Institute</w:t>
      </w:r>
      <w:r w:rsidR="0023024A">
        <w:t xml:space="preserve"> - Sofia</w:t>
      </w:r>
      <w:r w:rsidRPr="00C1042C">
        <w:rPr>
          <w:rStyle w:val="FootnoteReference"/>
        </w:rPr>
        <w:footnoteReference w:id="170"/>
      </w:r>
      <w:r w:rsidR="005605CA" w:rsidRPr="00C1042C">
        <w:t xml:space="preserve"> proposes measures for the minimi</w:t>
      </w:r>
      <w:r>
        <w:t>s</w:t>
      </w:r>
      <w:r w:rsidR="005605CA" w:rsidRPr="00C1042C">
        <w:t>ation of the consequences of the liberal</w:t>
      </w:r>
      <w:r w:rsidR="00475C62">
        <w:t>is</w:t>
      </w:r>
      <w:r w:rsidR="005605CA" w:rsidRPr="00C1042C">
        <w:t xml:space="preserve">ation of the electricity and energy market on the most vulnerable consumers. </w:t>
      </w:r>
      <w:r w:rsidR="00475C62">
        <w:t>T</w:t>
      </w:r>
      <w:r w:rsidR="005605CA" w:rsidRPr="00C1042C">
        <w:t xml:space="preserve">he report concludes that </w:t>
      </w:r>
      <w:r w:rsidR="00F95DCC">
        <w:t xml:space="preserve">the envisioned compensatory social package should be </w:t>
      </w:r>
      <w:r w:rsidR="00F95DCC">
        <w:lastRenderedPageBreak/>
        <w:t>widened</w:t>
      </w:r>
      <w:r w:rsidR="005605CA" w:rsidRPr="00C1042C">
        <w:t xml:space="preserve"> to support all </w:t>
      </w:r>
      <w:r w:rsidR="00F95DCC">
        <w:t xml:space="preserve">(energy) </w:t>
      </w:r>
      <w:r w:rsidR="005605CA" w:rsidRPr="00C1042C">
        <w:t xml:space="preserve">poor households. The report states that monetary assistance </w:t>
      </w:r>
      <w:r w:rsidR="00475C62" w:rsidRPr="00C1042C">
        <w:t xml:space="preserve">for heating </w:t>
      </w:r>
      <w:r w:rsidR="005605CA" w:rsidRPr="00C1042C">
        <w:t xml:space="preserve">is allocated to socially vulnerable households during winter, yet the report qualifies the amount as ‘negligibly small’ relative to the widespread poverty. </w:t>
      </w:r>
    </w:p>
    <w:p w14:paraId="5E64E628" w14:textId="77777777" w:rsidR="005605CA" w:rsidRDefault="005605CA" w:rsidP="0025214F">
      <w:pPr>
        <w:pStyle w:val="FRABodyText"/>
      </w:pPr>
    </w:p>
    <w:p w14:paraId="5FDE7834" w14:textId="3A3F0A2B" w:rsidR="005605CA" w:rsidRDefault="0052753D" w:rsidP="0025214F">
      <w:pPr>
        <w:pStyle w:val="FRABodyText"/>
      </w:pPr>
      <w:r>
        <w:t xml:space="preserve">The report by </w:t>
      </w:r>
      <w:r w:rsidR="005605CA" w:rsidRPr="00C1042C">
        <w:t xml:space="preserve">Reduce Energy use And Change Habits (REACH) </w:t>
      </w:r>
      <w:r>
        <w:t>on energy poverty in Bulgaria</w:t>
      </w:r>
      <w:r w:rsidR="005605CA" w:rsidRPr="00C1042C">
        <w:rPr>
          <w:rStyle w:val="FootnoteReference"/>
        </w:rPr>
        <w:footnoteReference w:id="171"/>
      </w:r>
      <w:r>
        <w:t xml:space="preserve"> maintains that</w:t>
      </w:r>
      <w:r w:rsidR="005605CA" w:rsidRPr="00C1042C">
        <w:t xml:space="preserve"> Bulgaria lacks an adequate housing programme for energy efficiency for vulnerable groups, due to the lack of a way to define which groups experience energy poverty and need </w:t>
      </w:r>
      <w:r>
        <w:t>support, and</w:t>
      </w:r>
      <w:r w:rsidR="005605CA" w:rsidRPr="00C1042C">
        <w:t xml:space="preserve"> reiterates that the whole policy of the State is focused on purely monetary assistance while failing to tackle the root causes, and help</w:t>
      </w:r>
      <w:r w:rsidR="00F95DCC">
        <w:t xml:space="preserve"> improve </w:t>
      </w:r>
      <w:r w:rsidR="005605CA" w:rsidRPr="00C1042C">
        <w:t xml:space="preserve">the standard of living. </w:t>
      </w:r>
    </w:p>
    <w:p w14:paraId="6BBD6E97" w14:textId="77777777" w:rsidR="0025214F" w:rsidRPr="00C1042C" w:rsidRDefault="0025214F" w:rsidP="0025214F">
      <w:pPr>
        <w:pStyle w:val="FRABodyText"/>
      </w:pPr>
    </w:p>
    <w:p w14:paraId="02BC58AC" w14:textId="77777777" w:rsidR="00F106E0" w:rsidRPr="00F106E0" w:rsidRDefault="00F106E0" w:rsidP="008E576F">
      <w:pPr>
        <w:numPr>
          <w:ilvl w:val="0"/>
          <w:numId w:val="6"/>
        </w:numPr>
        <w:spacing w:line="276" w:lineRule="auto"/>
        <w:rPr>
          <w:b/>
        </w:rPr>
      </w:pPr>
      <w:r w:rsidRPr="00F106E0">
        <w:rPr>
          <w:b/>
        </w:rPr>
        <w:t>Undeclared Workers</w:t>
      </w:r>
    </w:p>
    <w:p w14:paraId="248264B1" w14:textId="0DDA4DCE" w:rsidR="00270290" w:rsidRDefault="00270290" w:rsidP="0025214F">
      <w:pPr>
        <w:pStyle w:val="FRABodyText"/>
      </w:pPr>
      <w:r w:rsidRPr="0025214F">
        <w:t>The National Development Programme</w:t>
      </w:r>
      <w:r w:rsidR="00D62E77">
        <w:rPr>
          <w:rStyle w:val="FootnoteReference"/>
        </w:rPr>
        <w:footnoteReference w:id="172"/>
      </w:r>
      <w:r w:rsidRPr="0025214F">
        <w:t xml:space="preserve"> </w:t>
      </w:r>
      <w:r w:rsidR="00337A73">
        <w:t>has as priority decreasing poverty and promoting social inclusion via employment – hence it</w:t>
      </w:r>
      <w:r w:rsidR="00757578">
        <w:t>s</w:t>
      </w:r>
      <w:r w:rsidR="00337A73">
        <w:t xml:space="preserve"> subsequent goals</w:t>
      </w:r>
      <w:r w:rsidRPr="0025214F">
        <w:t xml:space="preserve"> </w:t>
      </w:r>
      <w:r w:rsidR="00757578">
        <w:t>to protect</w:t>
      </w:r>
      <w:r w:rsidRPr="0025214F">
        <w:t xml:space="preserve"> labo</w:t>
      </w:r>
      <w:r w:rsidR="00337A73">
        <w:t>u</w:t>
      </w:r>
      <w:r w:rsidRPr="0025214F">
        <w:t>r rights, ameliorat</w:t>
      </w:r>
      <w:r w:rsidR="00757578">
        <w:t>e</w:t>
      </w:r>
      <w:r w:rsidRPr="0025214F">
        <w:t xml:space="preserve"> working conditions and decreas</w:t>
      </w:r>
      <w:r w:rsidR="00757578">
        <w:t>e</w:t>
      </w:r>
      <w:r w:rsidRPr="0025214F">
        <w:t xml:space="preserve"> undeclared work. </w:t>
      </w:r>
      <w:r w:rsidR="00757578">
        <w:t>M</w:t>
      </w:r>
      <w:r w:rsidRPr="0025214F">
        <w:t xml:space="preserve">easures </w:t>
      </w:r>
      <w:r w:rsidR="001228B4">
        <w:t>are</w:t>
      </w:r>
      <w:r w:rsidRPr="0025214F">
        <w:t xml:space="preserve"> focused</w:t>
      </w:r>
      <w:r w:rsidR="00337A73">
        <w:t xml:space="preserve"> on</w:t>
      </w:r>
      <w:r w:rsidRPr="0025214F">
        <w:t xml:space="preserve"> providing access to information </w:t>
      </w:r>
      <w:r w:rsidR="00337A73">
        <w:t>regarding</w:t>
      </w:r>
      <w:r w:rsidRPr="0025214F">
        <w:t xml:space="preserve"> employment and social rights in the workplace, providing support in the protection of these rights, and </w:t>
      </w:r>
      <w:r w:rsidR="00DD541E">
        <w:rPr>
          <w:lang w:val="en-US"/>
        </w:rPr>
        <w:t>reducing</w:t>
      </w:r>
      <w:r w:rsidRPr="0025214F">
        <w:t xml:space="preserve"> undeclared work. </w:t>
      </w:r>
    </w:p>
    <w:p w14:paraId="23078551" w14:textId="77777777" w:rsidR="00DD541E" w:rsidRPr="0025214F" w:rsidRDefault="00DD541E" w:rsidP="0025214F">
      <w:pPr>
        <w:pStyle w:val="FRABodyText"/>
      </w:pPr>
    </w:p>
    <w:p w14:paraId="395DA5C1" w14:textId="0AE78878" w:rsidR="00270290" w:rsidRDefault="00270290" w:rsidP="0025214F">
      <w:pPr>
        <w:pStyle w:val="FRABodyText"/>
      </w:pPr>
      <w:r w:rsidRPr="0025214F">
        <w:t xml:space="preserve">The Updated Employment Strategy of the Republic of Bulgaria 2013-2020 </w:t>
      </w:r>
      <w:r w:rsidRPr="00DD541E">
        <w:rPr>
          <w:i/>
          <w:iCs/>
        </w:rPr>
        <w:t>(Актуализирана стратегия по заетостта на Република България 2013-2020)</w:t>
      </w:r>
      <w:r w:rsidR="00D62E77">
        <w:rPr>
          <w:rStyle w:val="FootnoteReference"/>
        </w:rPr>
        <w:footnoteReference w:id="173"/>
      </w:r>
      <w:r w:rsidRPr="0025214F">
        <w:t xml:space="preserve"> also tackles undeclared work income and informal work. One of its priorities – increasing the </w:t>
      </w:r>
      <w:r w:rsidR="00DD541E">
        <w:rPr>
          <w:lang w:val="en-US"/>
        </w:rPr>
        <w:t>demand for labour force</w:t>
      </w:r>
      <w:r w:rsidRPr="0025214F">
        <w:t xml:space="preserve"> – contains the goal of increasing the flexibility and security of the labor market (flexicurity) by, amongst others, limiting informal employment and undeclared incomes. It provides for innovative approaches and measures implemented at national and local level, and increased monitoring by state authorities of compliance with labo</w:t>
      </w:r>
      <w:r w:rsidR="00DD541E">
        <w:t>u</w:t>
      </w:r>
      <w:r w:rsidRPr="0025214F">
        <w:t xml:space="preserve">r and social security legislation, as well as for strengthening the capacity of the General Labour Inspectorate Executive Agency </w:t>
      </w:r>
      <w:r w:rsidR="00DD541E">
        <w:t>(GLI) (</w:t>
      </w:r>
      <w:r w:rsidR="00DD541E" w:rsidRPr="00E42A0D">
        <w:rPr>
          <w:i/>
          <w:iCs/>
          <w:lang w:val="bg-BG"/>
        </w:rPr>
        <w:t>Изпълнителна агенция „Главна инспекция по труда“</w:t>
      </w:r>
      <w:r w:rsidR="00DD541E">
        <w:rPr>
          <w:lang w:val="bg-BG"/>
        </w:rPr>
        <w:t>, ГИТ</w:t>
      </w:r>
      <w:r w:rsidR="00DD541E">
        <w:t>)</w:t>
      </w:r>
      <w:r w:rsidR="00DD541E">
        <w:rPr>
          <w:lang w:val="bg-BG"/>
        </w:rPr>
        <w:t xml:space="preserve"> </w:t>
      </w:r>
      <w:r w:rsidRPr="0025214F">
        <w:t>to limit undeclared employment.</w:t>
      </w:r>
    </w:p>
    <w:p w14:paraId="73E2D91B" w14:textId="77777777" w:rsidR="00D62E77" w:rsidRPr="0025214F" w:rsidRDefault="00D62E77" w:rsidP="0025214F">
      <w:pPr>
        <w:pStyle w:val="FRABodyText"/>
      </w:pPr>
    </w:p>
    <w:p w14:paraId="20ED986D" w14:textId="7FF9487A" w:rsidR="00270290" w:rsidRDefault="00270290" w:rsidP="0025214F">
      <w:pPr>
        <w:pStyle w:val="FRABodyText"/>
      </w:pPr>
      <w:r w:rsidRPr="0025214F">
        <w:t>The Single National Strategy for improving the tax collection, tackling the shadow economy and reducing the compliance costs- 2015–2017</w:t>
      </w:r>
      <w:r w:rsidR="00D62E77">
        <w:rPr>
          <w:rStyle w:val="FootnoteReference"/>
        </w:rPr>
        <w:footnoteReference w:id="174"/>
      </w:r>
      <w:r w:rsidRPr="0025214F">
        <w:t xml:space="preserve">  points as its first strategic objective </w:t>
      </w:r>
      <w:r w:rsidR="001D0DAF">
        <w:rPr>
          <w:lang w:val="en-US"/>
        </w:rPr>
        <w:t>t</w:t>
      </w:r>
      <w:r w:rsidRPr="0025214F">
        <w:t>ackling the shadow economy and defines undeclared work</w:t>
      </w:r>
      <w:r w:rsidR="00757578">
        <w:t xml:space="preserve"> </w:t>
      </w:r>
      <w:r w:rsidRPr="0025214F">
        <w:t xml:space="preserve">as an indicator </w:t>
      </w:r>
      <w:r w:rsidR="001228B4">
        <w:t>thereof</w:t>
      </w:r>
      <w:r w:rsidRPr="0025214F">
        <w:t>. The Strategy outlines two main types of measures:</w:t>
      </w:r>
      <w:r w:rsidR="001D0DAF">
        <w:t xml:space="preserve"> </w:t>
      </w:r>
      <w:r w:rsidRPr="0025214F">
        <w:t>to prevent entry into the shadow economy</w:t>
      </w:r>
      <w:r w:rsidR="001D0DAF">
        <w:t xml:space="preserve"> and </w:t>
      </w:r>
      <w:r w:rsidRPr="0025214F">
        <w:t>to h</w:t>
      </w:r>
      <w:r w:rsidR="001228B4">
        <w:t xml:space="preserve">elp the shadow sector actors </w:t>
      </w:r>
      <w:r w:rsidRPr="0025214F">
        <w:t>migrate to the formal economy.</w:t>
      </w:r>
      <w:r w:rsidR="001D0DAF">
        <w:t xml:space="preserve"> </w:t>
      </w:r>
      <w:r w:rsidR="00757578">
        <w:t>Focus is put on</w:t>
      </w:r>
      <w:r w:rsidRPr="0025214F">
        <w:t xml:space="preserve"> conducting media campaigns to enhance civic culture, precluding the possibilities of avoiding and evading taxes, social and health insurance payments and fees, implementing more effective compliance control, incentives and </w:t>
      </w:r>
      <w:r w:rsidRPr="0025214F">
        <w:lastRenderedPageBreak/>
        <w:t xml:space="preserve">sanctions along several </w:t>
      </w:r>
      <w:r w:rsidR="001228B4">
        <w:t>major lines of action</w:t>
      </w:r>
      <w:r w:rsidRPr="0025214F">
        <w:t>:</w:t>
      </w:r>
      <w:r w:rsidR="00902859">
        <w:t xml:space="preserve"> c</w:t>
      </w:r>
      <w:r w:rsidRPr="0025214F">
        <w:t>reating conditions for more efficient compliance through simplifying the administrative procedures;</w:t>
      </w:r>
      <w:r w:rsidR="00902859">
        <w:t xml:space="preserve"> u</w:t>
      </w:r>
      <w:r w:rsidRPr="0025214F">
        <w:t xml:space="preserve">sing </w:t>
      </w:r>
      <w:r w:rsidR="00757578">
        <w:t>various</w:t>
      </w:r>
      <w:r w:rsidRPr="0025214F">
        <w:t xml:space="preserve"> </w:t>
      </w:r>
      <w:r w:rsidR="00C24372">
        <w:t xml:space="preserve">electronic </w:t>
      </w:r>
      <w:r w:rsidRPr="0025214F">
        <w:t>payment systems to enhance the transparency of transactions;</w:t>
      </w:r>
      <w:r w:rsidR="00902859">
        <w:t xml:space="preserve"> i</w:t>
      </w:r>
      <w:r w:rsidRPr="0025214F">
        <w:t>ncreasing the detection of violations by more effective control and sanctions</w:t>
      </w:r>
      <w:r w:rsidR="00902859">
        <w:t xml:space="preserve">. </w:t>
      </w:r>
      <w:r w:rsidR="00D15764">
        <w:t>The S</w:t>
      </w:r>
      <w:r w:rsidR="00A3223C">
        <w:t>trategy is operationalised in an</w:t>
      </w:r>
      <w:r w:rsidR="00D15764">
        <w:t xml:space="preserve"> action plan. </w:t>
      </w:r>
    </w:p>
    <w:p w14:paraId="10F1BBF2" w14:textId="77777777" w:rsidR="00D62E77" w:rsidRPr="0025214F" w:rsidRDefault="00D62E77" w:rsidP="0025214F">
      <w:pPr>
        <w:pStyle w:val="FRABodyText"/>
      </w:pPr>
    </w:p>
    <w:p w14:paraId="55FD4BA3" w14:textId="5DE5BE51" w:rsidR="00270290" w:rsidRPr="0025214F" w:rsidRDefault="00902859" w:rsidP="0025214F">
      <w:pPr>
        <w:pStyle w:val="FRABodyText"/>
      </w:pPr>
      <w:r>
        <w:rPr>
          <w:lang w:val="en-US"/>
        </w:rPr>
        <w:t>The national anti-poverty and social inclusion strategy</w:t>
      </w:r>
      <w:r>
        <w:rPr>
          <w:rStyle w:val="FootnoteReference"/>
          <w:lang w:val="en-US"/>
        </w:rPr>
        <w:footnoteReference w:id="175"/>
      </w:r>
      <w:r>
        <w:rPr>
          <w:lang w:val="en-US"/>
        </w:rPr>
        <w:t xml:space="preserve"> also includes reducing undeclared work in its priority area of providing</w:t>
      </w:r>
      <w:r w:rsidR="00270290" w:rsidRPr="0025214F">
        <w:t xml:space="preserve"> opportunities for employment and increased labour income through active labour market inclusion</w:t>
      </w:r>
      <w:r>
        <w:t>,</w:t>
      </w:r>
      <w:r w:rsidR="00270290" w:rsidRPr="0025214F">
        <w:t xml:space="preserve"> protecting labour rights</w:t>
      </w:r>
      <w:r>
        <w:t xml:space="preserve"> and</w:t>
      </w:r>
      <w:r w:rsidR="00270290" w:rsidRPr="0025214F">
        <w:t xml:space="preserve"> improving working conditions. </w:t>
      </w:r>
    </w:p>
    <w:p w14:paraId="73778791" w14:textId="77777777" w:rsidR="008F36A7" w:rsidRDefault="008F36A7" w:rsidP="0025214F">
      <w:pPr>
        <w:pStyle w:val="FRABodyText"/>
      </w:pPr>
    </w:p>
    <w:p w14:paraId="13714463" w14:textId="0FDAD546" w:rsidR="00413573" w:rsidRDefault="00902859" w:rsidP="0032208C">
      <w:pPr>
        <w:pStyle w:val="FRABodyText"/>
      </w:pPr>
      <w:r>
        <w:rPr>
          <w:lang w:val="en-US"/>
        </w:rPr>
        <w:t>The national employment action plan</w:t>
      </w:r>
      <w:r w:rsidR="008F36A7">
        <w:rPr>
          <w:rStyle w:val="FootnoteReference"/>
        </w:rPr>
        <w:footnoteReference w:id="176"/>
      </w:r>
      <w:r w:rsidR="00270290" w:rsidRPr="0025214F">
        <w:t xml:space="preserve"> points to various forms of undeclared work</w:t>
      </w:r>
      <w:r>
        <w:t>,</w:t>
      </w:r>
      <w:r w:rsidR="00270290" w:rsidRPr="0025214F">
        <w:t xml:space="preserve"> such as work without a </w:t>
      </w:r>
      <w:r>
        <w:t>labour contract</w:t>
      </w:r>
      <w:r w:rsidR="00270290" w:rsidRPr="0025214F">
        <w:t xml:space="preserve">, work longer than the contracted time, payment of remuneration in excess of </w:t>
      </w:r>
      <w:r>
        <w:t xml:space="preserve">the one </w:t>
      </w:r>
      <w:r w:rsidR="00270290" w:rsidRPr="0025214F">
        <w:t>officially declared, illegal overtime work</w:t>
      </w:r>
      <w:r>
        <w:t>,</w:t>
      </w:r>
      <w:r w:rsidR="00270290" w:rsidRPr="0025214F">
        <w:t xml:space="preserve"> </w:t>
      </w:r>
      <w:r w:rsidR="00270290" w:rsidRPr="0025214F">
        <w:rPr>
          <w:rStyle w:val="tlid-translation"/>
        </w:rPr>
        <w:t>and takes into account its negative effects on employees, businesses and society: limiting workers' social security rights, deteriorating working conditions, limiting skills development, unfair competition, and reducing tax and social security contributions, which in its turn, has a negative impact on the financial sustainability of social protection systems.</w:t>
      </w:r>
      <w:r w:rsidR="00270290" w:rsidRPr="0025214F">
        <w:t xml:space="preserve"> The action plan premises the improvement of the functioning of the labo</w:t>
      </w:r>
      <w:r>
        <w:t>u</w:t>
      </w:r>
      <w:r w:rsidR="00C24372">
        <w:t xml:space="preserve">r market by </w:t>
      </w:r>
      <w:r w:rsidR="00270290" w:rsidRPr="0025214F">
        <w:t xml:space="preserve">restricting </w:t>
      </w:r>
      <w:r w:rsidR="00270290" w:rsidRPr="0025214F">
        <w:rPr>
          <w:rStyle w:val="tlid-translation"/>
        </w:rPr>
        <w:t xml:space="preserve">unregulated employment </w:t>
      </w:r>
      <w:r w:rsidR="00270290" w:rsidRPr="0025214F">
        <w:t xml:space="preserve">and undeclared payments. </w:t>
      </w:r>
    </w:p>
    <w:p w14:paraId="3D98AB3A" w14:textId="77777777" w:rsidR="00CD7B2E" w:rsidRDefault="00CD7B2E" w:rsidP="0032208C">
      <w:pPr>
        <w:pStyle w:val="FRABodyText"/>
      </w:pPr>
    </w:p>
    <w:p w14:paraId="36525A03" w14:textId="77777777" w:rsidR="00CD7B2E" w:rsidRPr="00A1666C" w:rsidRDefault="00CD7B2E" w:rsidP="008E576F">
      <w:pPr>
        <w:pStyle w:val="FRAHeading1"/>
        <w:numPr>
          <w:ilvl w:val="0"/>
          <w:numId w:val="5"/>
        </w:numPr>
        <w:jc w:val="both"/>
      </w:pPr>
      <w:r w:rsidRPr="00A1666C">
        <w:t xml:space="preserve">Summary of </w:t>
      </w:r>
      <w:r>
        <w:t>most important risks</w:t>
      </w:r>
    </w:p>
    <w:p w14:paraId="1053EFDF" w14:textId="77777777" w:rsidR="00CD7B2E" w:rsidRDefault="00CD7B2E" w:rsidP="00CD7B2E">
      <w:r w:rsidRPr="00A1666C">
        <w:t xml:space="preserve">This section will </w:t>
      </w:r>
      <w:r>
        <w:t xml:space="preserve">summarise the most important risks faced by the groups covered in the present report and will point to overlaps and intersectionalities that may exist among them. </w:t>
      </w:r>
    </w:p>
    <w:p w14:paraId="7F25FC20" w14:textId="77777777" w:rsidR="00CD7B2E" w:rsidRPr="00840A7C" w:rsidRDefault="00CD7B2E" w:rsidP="008E576F">
      <w:pPr>
        <w:pStyle w:val="ListParagraph"/>
        <w:numPr>
          <w:ilvl w:val="0"/>
          <w:numId w:val="9"/>
        </w:numPr>
        <w:spacing w:before="240" w:after="0"/>
        <w:rPr>
          <w:b/>
        </w:rPr>
      </w:pPr>
      <w:r w:rsidRPr="00840A7C">
        <w:rPr>
          <w:b/>
        </w:rPr>
        <w:t>Roma</w:t>
      </w:r>
    </w:p>
    <w:p w14:paraId="6F4647B7" w14:textId="77777777" w:rsidR="00CD7B2E" w:rsidRDefault="00CD7B2E" w:rsidP="00CD7B2E">
      <w:pPr>
        <w:pStyle w:val="FRABodyText"/>
        <w:rPr>
          <w:lang w:val="en-US"/>
        </w:rPr>
      </w:pPr>
    </w:p>
    <w:p w14:paraId="763A2D7D" w14:textId="77777777" w:rsidR="00CD7B2E" w:rsidRPr="00A1666C" w:rsidRDefault="00CD7B2E" w:rsidP="00CD7B2E">
      <w:pPr>
        <w:pStyle w:val="FRABodyText"/>
      </w:pPr>
      <w:r>
        <w:rPr>
          <w:lang w:val="en-US"/>
        </w:rPr>
        <w:t xml:space="preserve">Based on the legal and policy frameworks analysed, it could be concluded that Roma are most vulnerable to </w:t>
      </w:r>
      <w:r w:rsidRPr="00C706C8">
        <w:rPr>
          <w:lang w:val="en-US"/>
        </w:rPr>
        <w:t>poverty</w:t>
      </w:r>
      <w:r>
        <w:rPr>
          <w:lang w:val="en-US"/>
        </w:rPr>
        <w:t xml:space="preserve"> and resulting</w:t>
      </w:r>
      <w:r w:rsidRPr="00C706C8">
        <w:rPr>
          <w:lang w:val="en-US"/>
        </w:rPr>
        <w:t xml:space="preserve"> social exclusion</w:t>
      </w:r>
      <w:r>
        <w:rPr>
          <w:lang w:val="en-US"/>
        </w:rPr>
        <w:t xml:space="preserve">. This is directly reflected in their generally poor access to education and widespread school drop-out, as well as in their difficult access to employment and poor living conditions/state of infrastructure in Roma-populated areas. Another set of problems Roma face is related to various aspects of their </w:t>
      </w:r>
      <w:r w:rsidRPr="00C706C8">
        <w:rPr>
          <w:lang w:val="en-US"/>
        </w:rPr>
        <w:t>discrimination</w:t>
      </w:r>
      <w:r>
        <w:rPr>
          <w:lang w:val="en-US"/>
        </w:rPr>
        <w:t xml:space="preserve"> by both institutions and the general public. NGOs point to various practices by police and the eviction of (segregated) Roma neighbourhoods, while</w:t>
      </w:r>
      <w:r w:rsidRPr="00C706C8">
        <w:rPr>
          <w:lang w:val="en-US"/>
        </w:rPr>
        <w:t xml:space="preserve"> negative stereotyping</w:t>
      </w:r>
      <w:r>
        <w:rPr>
          <w:lang w:val="en-US"/>
        </w:rPr>
        <w:t xml:space="preserve"> is widespread among the general population, leading to various acts of direct and indirect discrimination. Roma women and children are mentioned as severely affected by all those vulnerability factors, in addition to others related to their gender and age. Younger and older Roma, as well as those living in precarious housing or in energy poverty, are other hypotheses of intersection between Roma and other groups the present report looks at. </w:t>
      </w:r>
    </w:p>
    <w:p w14:paraId="30F017E9" w14:textId="77777777" w:rsidR="00CD7B2E" w:rsidRDefault="00CD7B2E" w:rsidP="00CD7B2E">
      <w:pPr>
        <w:pStyle w:val="FRABodyText"/>
      </w:pPr>
    </w:p>
    <w:p w14:paraId="05D21718" w14:textId="77777777" w:rsidR="00CD7B2E" w:rsidRDefault="00CD7B2E" w:rsidP="008E576F">
      <w:pPr>
        <w:pStyle w:val="FRABodyText"/>
        <w:numPr>
          <w:ilvl w:val="0"/>
          <w:numId w:val="9"/>
        </w:numPr>
        <w:rPr>
          <w:b/>
        </w:rPr>
      </w:pPr>
      <w:r w:rsidRPr="008400DE">
        <w:rPr>
          <w:b/>
        </w:rPr>
        <w:t>Children at risk</w:t>
      </w:r>
    </w:p>
    <w:p w14:paraId="67CCB833" w14:textId="77777777" w:rsidR="00CD7B2E" w:rsidRPr="008400DE" w:rsidRDefault="00CD7B2E" w:rsidP="00CD7B2E">
      <w:pPr>
        <w:pStyle w:val="FRABodyText"/>
        <w:ind w:left="720"/>
        <w:rPr>
          <w:b/>
        </w:rPr>
      </w:pPr>
    </w:p>
    <w:p w14:paraId="33C37D7B" w14:textId="77777777" w:rsidR="00CD7B2E" w:rsidRPr="00012492" w:rsidRDefault="00CD7B2E" w:rsidP="00CD7B2E">
      <w:pPr>
        <w:pStyle w:val="FRABodyText"/>
        <w:rPr>
          <w:lang w:val="en-US"/>
        </w:rPr>
      </w:pPr>
      <w:r>
        <w:rPr>
          <w:lang w:val="en-US"/>
        </w:rPr>
        <w:t xml:space="preserve">Due to their age and development, children are particularly vulnerable to all types of societal and economic risk factors and are thus a horizontal group of multiple vulnerability throughout all the other populations the report looks at. The present research limits the study of children to </w:t>
      </w:r>
      <w:r>
        <w:rPr>
          <w:lang w:val="en-US"/>
        </w:rPr>
        <w:lastRenderedPageBreak/>
        <w:t xml:space="preserve">‘children at risk’ as defined by Bulgarian law (see above), but they are nevertheless severely affected by </w:t>
      </w:r>
      <w:r w:rsidRPr="008400DE">
        <w:rPr>
          <w:lang w:val="en-US"/>
        </w:rPr>
        <w:t>poverty</w:t>
      </w:r>
      <w:r>
        <w:rPr>
          <w:lang w:val="en-US"/>
        </w:rPr>
        <w:t xml:space="preserve"> and</w:t>
      </w:r>
      <w:r w:rsidRPr="008400DE">
        <w:rPr>
          <w:lang w:val="en-US"/>
        </w:rPr>
        <w:t xml:space="preserve"> social exclusion,</w:t>
      </w:r>
      <w:r>
        <w:rPr>
          <w:lang w:val="en-US"/>
        </w:rPr>
        <w:t xml:space="preserve"> caused by, among others, lack of parental care and causing, among others, dropping out of school. A</w:t>
      </w:r>
      <w:r w:rsidRPr="008400DE">
        <w:rPr>
          <w:lang w:val="en-US"/>
        </w:rPr>
        <w:t>bandonment (</w:t>
      </w:r>
      <w:r>
        <w:rPr>
          <w:lang w:val="en-US"/>
        </w:rPr>
        <w:t xml:space="preserve">especially </w:t>
      </w:r>
      <w:r w:rsidRPr="008400DE">
        <w:rPr>
          <w:lang w:val="en-US"/>
        </w:rPr>
        <w:t>at birth)</w:t>
      </w:r>
      <w:r>
        <w:rPr>
          <w:lang w:val="en-US"/>
        </w:rPr>
        <w:t xml:space="preserve"> is expressly listed by Bulgarian legislation and policies</w:t>
      </w:r>
      <w:r w:rsidRPr="008400DE">
        <w:rPr>
          <w:lang w:val="en-US"/>
        </w:rPr>
        <w:t xml:space="preserve">, </w:t>
      </w:r>
      <w:r>
        <w:rPr>
          <w:lang w:val="en-US"/>
        </w:rPr>
        <w:t>as well as poor/limited</w:t>
      </w:r>
      <w:r w:rsidRPr="008400DE">
        <w:rPr>
          <w:lang w:val="en-US"/>
        </w:rPr>
        <w:t xml:space="preserve"> access to healthcare and social benefits</w:t>
      </w:r>
      <w:r>
        <w:rPr>
          <w:lang w:val="en-US"/>
        </w:rPr>
        <w:t xml:space="preserve"> and heavy impact by anti-social/criminal phenomena such as domestic violence and human trafficking and related violence and exploitation. </w:t>
      </w:r>
    </w:p>
    <w:p w14:paraId="6DB1A24F" w14:textId="77777777" w:rsidR="00CD7B2E" w:rsidRPr="008A0FA6" w:rsidRDefault="00CD7B2E" w:rsidP="00CD7B2E">
      <w:pPr>
        <w:pStyle w:val="FRABodyText"/>
        <w:rPr>
          <w:lang w:val="bg-BG"/>
        </w:rPr>
      </w:pPr>
    </w:p>
    <w:p w14:paraId="52ACAD9B" w14:textId="77777777" w:rsidR="00CD7B2E" w:rsidRDefault="00CD7B2E" w:rsidP="008E576F">
      <w:pPr>
        <w:pStyle w:val="FRABodyText"/>
        <w:numPr>
          <w:ilvl w:val="0"/>
          <w:numId w:val="9"/>
        </w:numPr>
        <w:rPr>
          <w:b/>
          <w:lang w:val="en-US"/>
        </w:rPr>
      </w:pPr>
      <w:r>
        <w:rPr>
          <w:b/>
          <w:lang w:val="en-US"/>
        </w:rPr>
        <w:t>Persons with Disabilitie</w:t>
      </w:r>
      <w:r w:rsidRPr="000E0C17">
        <w:rPr>
          <w:b/>
          <w:lang w:val="en-US"/>
        </w:rPr>
        <w:t>s</w:t>
      </w:r>
    </w:p>
    <w:p w14:paraId="458CE55B" w14:textId="77777777" w:rsidR="00CD7B2E" w:rsidRDefault="00CD7B2E" w:rsidP="00CD7B2E">
      <w:pPr>
        <w:pStyle w:val="FRABodyText"/>
        <w:ind w:left="720"/>
        <w:rPr>
          <w:b/>
          <w:lang w:val="en-US"/>
        </w:rPr>
      </w:pPr>
    </w:p>
    <w:p w14:paraId="4947A9ED" w14:textId="77777777" w:rsidR="00CD7B2E" w:rsidRPr="000E0C17" w:rsidRDefault="00CD7B2E" w:rsidP="00CD7B2E">
      <w:pPr>
        <w:pStyle w:val="FRABodyText"/>
      </w:pPr>
      <w:r w:rsidRPr="000E0C17">
        <w:t>Persons with disabilities are faced with many of the other factors the other vulnerable groups in the present report experience - poverty, social exclusion, low access to education, employment and social services – which heavily interact with and exacerbate each other. Thus, poorly adapted and heavily formalised systems of medical expertise of disability, education and employment leave persons with disabilities in exclusion, leading to their increasing poverty due to not being available to support themselves</w:t>
      </w:r>
      <w:r>
        <w:t xml:space="preserve"> by their own means</w:t>
      </w:r>
      <w:r w:rsidRPr="000E0C17">
        <w:t xml:space="preserve">. In addition, inaccessible architectural environment and transportation exacerbate further their social exclusion and constitute a factor for discriminating such persons in using various public services and generally participating in public life. </w:t>
      </w:r>
      <w:r>
        <w:t xml:space="preserve">Disability could be an additional vulnerability factor as regards all the other groups in the present report, thus all intersections between the disability group and others are practically possible and leave members at an increased risk. </w:t>
      </w:r>
    </w:p>
    <w:p w14:paraId="5D4EC914" w14:textId="77777777" w:rsidR="00CD7B2E" w:rsidRPr="006369C3" w:rsidRDefault="00CD7B2E" w:rsidP="00CD7B2E">
      <w:pPr>
        <w:pStyle w:val="FRABodyText"/>
        <w:rPr>
          <w:lang w:val="en-US"/>
        </w:rPr>
      </w:pPr>
    </w:p>
    <w:p w14:paraId="3284F841" w14:textId="77777777" w:rsidR="00CD7B2E" w:rsidRPr="006369C3" w:rsidRDefault="00CD7B2E" w:rsidP="008E576F">
      <w:pPr>
        <w:pStyle w:val="FRABodyText"/>
        <w:numPr>
          <w:ilvl w:val="0"/>
          <w:numId w:val="9"/>
        </w:numPr>
        <w:rPr>
          <w:b/>
          <w:lang w:val="en-US"/>
        </w:rPr>
      </w:pPr>
      <w:r w:rsidRPr="006369C3">
        <w:rPr>
          <w:b/>
          <w:lang w:val="en-US"/>
        </w:rPr>
        <w:t>Very Young Persons (15-29 y.o.)</w:t>
      </w:r>
    </w:p>
    <w:p w14:paraId="3234B659" w14:textId="77777777" w:rsidR="00CD7B2E" w:rsidRDefault="00CD7B2E" w:rsidP="00CD7B2E">
      <w:pPr>
        <w:pStyle w:val="FRABodyText"/>
        <w:rPr>
          <w:lang w:val="en-US"/>
        </w:rPr>
      </w:pPr>
    </w:p>
    <w:p w14:paraId="2B443AEB" w14:textId="77777777" w:rsidR="00CD7B2E" w:rsidRDefault="00CD7B2E" w:rsidP="00CD7B2E">
      <w:pPr>
        <w:pStyle w:val="FRABodyText"/>
        <w:rPr>
          <w:lang w:val="en-US"/>
        </w:rPr>
      </w:pPr>
      <w:r>
        <w:rPr>
          <w:lang w:val="en-US"/>
        </w:rPr>
        <w:t xml:space="preserve">A number of very young persons (15-29 years old), especially in remote areas, are affected by poor access to education and employment as the opportunities before them are relatively limited. </w:t>
      </w:r>
    </w:p>
    <w:p w14:paraId="739500E4" w14:textId="77777777" w:rsidR="00CD7B2E" w:rsidRDefault="00CD7B2E" w:rsidP="00CD7B2E">
      <w:pPr>
        <w:pStyle w:val="FRABodyText"/>
        <w:rPr>
          <w:lang w:val="en-US"/>
        </w:rPr>
      </w:pPr>
      <w:r>
        <w:t xml:space="preserve">Their early school drop-out and lack of professional training/qualification, combined with economic inactivity, puts them in the well-established particularly vulnerable category of </w:t>
      </w:r>
      <w:r w:rsidRPr="00A705BE">
        <w:t>NEETs.</w:t>
      </w:r>
      <w:r>
        <w:t xml:space="preserve"> This, in turn, leads to their increasing poverty and social exclusion as they cannot sustain themselves by their own labour. Intersections are practically possible with all the other groups in the report, leading to multiple vulnerabilities.  </w:t>
      </w:r>
    </w:p>
    <w:p w14:paraId="36501B85" w14:textId="77777777" w:rsidR="00CD7B2E" w:rsidRDefault="00CD7B2E" w:rsidP="00CD7B2E">
      <w:pPr>
        <w:pStyle w:val="FRABodyText"/>
      </w:pPr>
    </w:p>
    <w:p w14:paraId="3A3C9E59" w14:textId="77777777" w:rsidR="00CD7B2E" w:rsidRPr="004E69F0" w:rsidRDefault="00CD7B2E" w:rsidP="008E576F">
      <w:pPr>
        <w:pStyle w:val="FRABodyText"/>
        <w:numPr>
          <w:ilvl w:val="0"/>
          <w:numId w:val="9"/>
        </w:numPr>
        <w:rPr>
          <w:b/>
        </w:rPr>
      </w:pPr>
      <w:r w:rsidRPr="004E69F0">
        <w:rPr>
          <w:b/>
        </w:rPr>
        <w:t>Older persons (&gt;55 y.o.)</w:t>
      </w:r>
    </w:p>
    <w:p w14:paraId="42939ECA" w14:textId="77777777" w:rsidR="00CD7B2E" w:rsidRDefault="00CD7B2E" w:rsidP="00CD7B2E">
      <w:pPr>
        <w:pStyle w:val="FRABodyText"/>
      </w:pPr>
    </w:p>
    <w:p w14:paraId="343F78C9" w14:textId="77777777" w:rsidR="00CD7B2E" w:rsidRPr="00FC3A28" w:rsidRDefault="00CD7B2E" w:rsidP="00CD7B2E">
      <w:pPr>
        <w:pStyle w:val="FRABodyText"/>
        <w:rPr>
          <w:lang w:val="bg-BG"/>
        </w:rPr>
      </w:pPr>
      <w:r>
        <w:t>With a fluctuating threshold between 55 and 60/63 years old, the latter being the approximate retirement age for women/men, older persons</w:t>
      </w:r>
      <w:r>
        <w:rPr>
          <w:lang w:val="en-US"/>
        </w:rPr>
        <w:t xml:space="preserve">, especially in remote areas, are at a severe risk of poor access to employment and insufficient access to social services. Left without jobs and social support, those populations face increasing poverty and social exclusion. </w:t>
      </w:r>
      <w:r>
        <w:t xml:space="preserve">Intersections are practically possible with all the other groups in the report, leading to multiple vulnerabilities.  </w:t>
      </w:r>
    </w:p>
    <w:p w14:paraId="020982DA" w14:textId="77777777" w:rsidR="00CD7B2E" w:rsidRDefault="00CD7B2E" w:rsidP="00CD7B2E">
      <w:pPr>
        <w:spacing w:line="276" w:lineRule="auto"/>
        <w:rPr>
          <w:lang w:bidi="en-US"/>
        </w:rPr>
      </w:pPr>
    </w:p>
    <w:p w14:paraId="41ED91C7" w14:textId="77777777" w:rsidR="00CD7B2E" w:rsidRPr="004E69F0" w:rsidRDefault="00CD7B2E" w:rsidP="008E576F">
      <w:pPr>
        <w:pStyle w:val="ListParagraph"/>
        <w:numPr>
          <w:ilvl w:val="0"/>
          <w:numId w:val="9"/>
        </w:numPr>
        <w:spacing w:line="276" w:lineRule="auto"/>
        <w:rPr>
          <w:b/>
        </w:rPr>
      </w:pPr>
      <w:r w:rsidRPr="004E69F0">
        <w:rPr>
          <w:b/>
        </w:rPr>
        <w:t>People in Precarious Housing</w:t>
      </w:r>
    </w:p>
    <w:p w14:paraId="51FE5C0E" w14:textId="77777777" w:rsidR="00CD7B2E" w:rsidRDefault="00CD7B2E" w:rsidP="00CD7B2E">
      <w:pPr>
        <w:pStyle w:val="FRABodyText"/>
        <w:rPr>
          <w:rFonts w:eastAsiaTheme="minorHAnsi"/>
        </w:rPr>
      </w:pPr>
      <w:r>
        <w:rPr>
          <w:rFonts w:eastAsiaTheme="minorHAnsi"/>
          <w:lang w:val="en-US"/>
        </w:rPr>
        <w:t>People in precarious housing, or homeless, who are most commonly defined in Bulgarian law</w:t>
      </w:r>
      <w:r w:rsidRPr="001B54D5">
        <w:rPr>
          <w:rFonts w:eastAsiaTheme="minorHAnsi"/>
          <w:lang w:val="en-US"/>
        </w:rPr>
        <w:t xml:space="preserve"> </w:t>
      </w:r>
      <w:r>
        <w:rPr>
          <w:rFonts w:eastAsiaTheme="minorHAnsi"/>
          <w:lang w:val="en-US"/>
        </w:rPr>
        <w:t xml:space="preserve">and policy, are practically faced with a number of health risks due to poor living conditions, including heating, plumbing, sanitation, etc. Not having (adequate) housing also leaves them in impending </w:t>
      </w:r>
      <w:r w:rsidRPr="004E69F0">
        <w:rPr>
          <w:rFonts w:eastAsiaTheme="minorHAnsi"/>
        </w:rPr>
        <w:t>poverty</w:t>
      </w:r>
      <w:r>
        <w:rPr>
          <w:rFonts w:eastAsiaTheme="minorHAnsi"/>
        </w:rPr>
        <w:t xml:space="preserve"> and</w:t>
      </w:r>
      <w:r w:rsidRPr="004E69F0">
        <w:rPr>
          <w:rFonts w:eastAsiaTheme="minorHAnsi"/>
        </w:rPr>
        <w:t xml:space="preserve"> social exclusion</w:t>
      </w:r>
      <w:r>
        <w:rPr>
          <w:rFonts w:eastAsiaTheme="minorHAnsi"/>
        </w:rPr>
        <w:t xml:space="preserve">, including a precarious personal situation due to disrupted familial relations. Significant intersections with other groups include those with Roma, older people, people with disabilities, children (at risk). </w:t>
      </w:r>
    </w:p>
    <w:p w14:paraId="261E70FC" w14:textId="77777777" w:rsidR="00CD7B2E" w:rsidRDefault="00CD7B2E" w:rsidP="00CD7B2E">
      <w:pPr>
        <w:pStyle w:val="FRABodyText"/>
        <w:rPr>
          <w:highlight w:val="yellow"/>
        </w:rPr>
      </w:pPr>
    </w:p>
    <w:p w14:paraId="78E13C99" w14:textId="77777777" w:rsidR="00CD7B2E" w:rsidRPr="00F106E0" w:rsidRDefault="00CD7B2E" w:rsidP="008E576F">
      <w:pPr>
        <w:numPr>
          <w:ilvl w:val="0"/>
          <w:numId w:val="9"/>
        </w:numPr>
        <w:spacing w:line="276" w:lineRule="auto"/>
        <w:rPr>
          <w:b/>
        </w:rPr>
      </w:pPr>
      <w:r w:rsidRPr="00F106E0">
        <w:rPr>
          <w:b/>
        </w:rPr>
        <w:t xml:space="preserve">Third-Country Nationals </w:t>
      </w:r>
    </w:p>
    <w:p w14:paraId="73DEBD9A" w14:textId="77777777" w:rsidR="00CD7B2E" w:rsidRDefault="00CD7B2E" w:rsidP="00CD7B2E">
      <w:pPr>
        <w:pStyle w:val="FRABodyText"/>
        <w:rPr>
          <w:lang w:val="en-US"/>
        </w:rPr>
      </w:pPr>
      <w:r>
        <w:rPr>
          <w:lang w:val="en-US"/>
        </w:rPr>
        <w:t xml:space="preserve">Besides poor social integration and related poverty and social exclusion, third-country nationals in Bulgaria are more immediately faced with a number of procedural and human rights problems, related to, respectively, international protection, if they apply for such, or eventual return procedures, if all legal avenues for the regularisation of their stay have been exhausted. Procedural risks include translation/interpretation, lack of legal aid and various violations of procedural rights before administrative bodies and courts. Human rights risks are related to the </w:t>
      </w:r>
      <w:r>
        <w:rPr>
          <w:lang w:val="en-US"/>
        </w:rPr>
        <w:lastRenderedPageBreak/>
        <w:t xml:space="preserve">foreigners’ stay in asylum seekers’ or irregular migrants’ centres and their living conditions and rules of administration. Significant intersections with other groups in the present report include those with older/very young people and people with disabilities, as well as undeclared workers, all combinations leaving foreigners in an especially vulnerable state.  </w:t>
      </w:r>
    </w:p>
    <w:p w14:paraId="431CBF3F" w14:textId="77777777" w:rsidR="00CD7B2E" w:rsidRDefault="00CD7B2E" w:rsidP="00CD7B2E">
      <w:pPr>
        <w:pStyle w:val="FRABodyText"/>
        <w:rPr>
          <w:lang w:val="en-US"/>
        </w:rPr>
      </w:pPr>
    </w:p>
    <w:p w14:paraId="40E1A8EE" w14:textId="77777777" w:rsidR="00CD7B2E" w:rsidRPr="00F106E0" w:rsidRDefault="00CD7B2E" w:rsidP="008E576F">
      <w:pPr>
        <w:numPr>
          <w:ilvl w:val="0"/>
          <w:numId w:val="9"/>
        </w:numPr>
        <w:spacing w:line="276" w:lineRule="auto"/>
        <w:rPr>
          <w:b/>
        </w:rPr>
      </w:pPr>
      <w:r w:rsidRPr="00F106E0">
        <w:rPr>
          <w:b/>
        </w:rPr>
        <w:t>Emigrant Household Members</w:t>
      </w:r>
    </w:p>
    <w:p w14:paraId="2C1A9285" w14:textId="77777777" w:rsidR="00CD7B2E" w:rsidRPr="00A6559C" w:rsidRDefault="00CD7B2E" w:rsidP="00CD7B2E">
      <w:pPr>
        <w:pStyle w:val="FRABodyText"/>
      </w:pPr>
      <w:r>
        <w:t xml:space="preserve">Risks for emigrant household members are mainly in the areas of various personal and financial support relatives/family members owe to each other in accordance to the law. Children of emigrant parents, standing in the intersection between emigrant household members and children at risk, may find themselves practically lacking parental, or relatives’, care or alimony parents owe to them, with all </w:t>
      </w:r>
      <w:r>
        <w:rPr>
          <w:lang w:val="en-US"/>
        </w:rPr>
        <w:t>related social and economic risks</w:t>
      </w:r>
      <w:r>
        <w:t xml:space="preserve">. </w:t>
      </w:r>
    </w:p>
    <w:p w14:paraId="1273CCEA" w14:textId="77777777" w:rsidR="00CD7B2E" w:rsidRPr="00F106E0" w:rsidRDefault="00CD7B2E" w:rsidP="00CD7B2E">
      <w:pPr>
        <w:pStyle w:val="FRABodyText"/>
      </w:pPr>
    </w:p>
    <w:p w14:paraId="7F88E341" w14:textId="77777777" w:rsidR="00CD7B2E" w:rsidRPr="00F106E0" w:rsidRDefault="00CD7B2E" w:rsidP="008E576F">
      <w:pPr>
        <w:numPr>
          <w:ilvl w:val="0"/>
          <w:numId w:val="9"/>
        </w:numPr>
        <w:spacing w:line="276" w:lineRule="auto"/>
        <w:rPr>
          <w:b/>
        </w:rPr>
      </w:pPr>
      <w:r w:rsidRPr="00F106E0">
        <w:rPr>
          <w:b/>
        </w:rPr>
        <w:t xml:space="preserve">Victims of Domestic Violence </w:t>
      </w:r>
    </w:p>
    <w:p w14:paraId="418321EF" w14:textId="77777777" w:rsidR="00CD7B2E" w:rsidRDefault="00CD7B2E" w:rsidP="00CD7B2E">
      <w:pPr>
        <w:pStyle w:val="FRABodyText"/>
        <w:rPr>
          <w:lang w:val="en-US"/>
        </w:rPr>
      </w:pPr>
      <w:r>
        <w:rPr>
          <w:lang w:val="en-US"/>
        </w:rPr>
        <w:t xml:space="preserve">Risks to victims of domestic violence are defined by the very definition of that group. Those are mainly the </w:t>
      </w:r>
      <w:r w:rsidRPr="000B3D6E">
        <w:rPr>
          <w:lang w:val="en-US"/>
        </w:rPr>
        <w:t>various forms of violence</w:t>
      </w:r>
      <w:r>
        <w:rPr>
          <w:lang w:val="en-US"/>
        </w:rPr>
        <w:t xml:space="preserve"> they suffer: physical, sexual, mental, emotional or economic, coercive restriction of personal life, liberty and rights, as well as the</w:t>
      </w:r>
      <w:r w:rsidRPr="000B3D6E">
        <w:rPr>
          <w:lang w:val="en-US"/>
        </w:rPr>
        <w:t xml:space="preserve"> related physical and psycho-social trauma</w:t>
      </w:r>
      <w:r>
        <w:rPr>
          <w:lang w:val="en-US"/>
        </w:rPr>
        <w:t xml:space="preserve"> victims experience. Each type of violence may lead to a number of consequences: physical and sexual violence may lead to a number of physical and mental health risks, coercive restriction of personal life and rights, as well as economic violence may lead to various degrees of poverty and social exclusion. Well-known intersections include Roma women – victims of domestic violence, as well as such victims of younger/older age and foreign nationality. </w:t>
      </w:r>
    </w:p>
    <w:p w14:paraId="5EB9A843" w14:textId="77777777" w:rsidR="00CD7B2E" w:rsidRPr="00F106E0" w:rsidRDefault="00CD7B2E" w:rsidP="00CD7B2E">
      <w:pPr>
        <w:pStyle w:val="FRABodyText"/>
      </w:pPr>
    </w:p>
    <w:p w14:paraId="1378F566" w14:textId="77777777" w:rsidR="00CD7B2E" w:rsidRPr="00F106E0" w:rsidRDefault="00CD7B2E" w:rsidP="008E576F">
      <w:pPr>
        <w:numPr>
          <w:ilvl w:val="0"/>
          <w:numId w:val="9"/>
        </w:numPr>
        <w:spacing w:line="276" w:lineRule="auto"/>
        <w:rPr>
          <w:b/>
        </w:rPr>
      </w:pPr>
      <w:r w:rsidRPr="00F106E0">
        <w:rPr>
          <w:b/>
        </w:rPr>
        <w:t>LGBTQ+ Persons</w:t>
      </w:r>
    </w:p>
    <w:p w14:paraId="226B027A" w14:textId="77777777" w:rsidR="00CD7B2E" w:rsidRDefault="00CD7B2E" w:rsidP="00CD7B2E">
      <w:pPr>
        <w:pStyle w:val="FRABodyText"/>
        <w:rPr>
          <w:lang w:val="en-US"/>
        </w:rPr>
      </w:pPr>
      <w:r>
        <w:t xml:space="preserve">The LGBTQ+ community is lacking any legal definition, or entitlements in a number of public, civil and criminal law spheres, such as administrative provisions, family and succession law, labour and social security law, right to free movement, criminal procedure. Thus, the group is left in a legal limbo, where many of the rights of the members have no legal protection whatsoever. Discrimination and violence may also occur. Significant intersections include those with the Roma community and younger persons, who may all be left at significant risk for their well-being.  </w:t>
      </w:r>
    </w:p>
    <w:p w14:paraId="7E4AD38A" w14:textId="77777777" w:rsidR="00CD7B2E" w:rsidRPr="00F106E0" w:rsidRDefault="00CD7B2E" w:rsidP="00CD7B2E">
      <w:pPr>
        <w:pStyle w:val="FRABodyText"/>
        <w:rPr>
          <w:highlight w:val="yellow"/>
        </w:rPr>
      </w:pPr>
      <w:r w:rsidRPr="00F106E0">
        <w:rPr>
          <w:highlight w:val="yellow"/>
        </w:rPr>
        <w:t xml:space="preserve"> </w:t>
      </w:r>
    </w:p>
    <w:p w14:paraId="17A25171" w14:textId="77777777" w:rsidR="00CD7B2E" w:rsidRPr="00F106E0" w:rsidRDefault="00CD7B2E" w:rsidP="008E576F">
      <w:pPr>
        <w:numPr>
          <w:ilvl w:val="0"/>
          <w:numId w:val="9"/>
        </w:numPr>
        <w:spacing w:line="276" w:lineRule="auto"/>
        <w:rPr>
          <w:b/>
        </w:rPr>
      </w:pPr>
      <w:r w:rsidRPr="00F106E0">
        <w:rPr>
          <w:b/>
        </w:rPr>
        <w:t>Energy-poor Persons</w:t>
      </w:r>
    </w:p>
    <w:p w14:paraId="491B1CB7" w14:textId="77777777" w:rsidR="00CD7B2E" w:rsidRDefault="00CD7B2E" w:rsidP="00CD7B2E">
      <w:pPr>
        <w:pStyle w:val="FRABodyText"/>
        <w:rPr>
          <w:lang w:val="en-US"/>
        </w:rPr>
      </w:pPr>
      <w:r>
        <w:rPr>
          <w:lang w:val="en-US"/>
        </w:rPr>
        <w:t xml:space="preserve">Much like the people in precarious housing, although many are specifically supported in accordance with the social support legislation, energy poor persons are subjected to a number of health risks related to the poor level of heating in their living quarters. On the other hand, energy poverty is a reflection of those persons’ overall poverty and related social exclusion. Important intersections include those with Roma people, people in precarious housing and older persons. </w:t>
      </w:r>
    </w:p>
    <w:p w14:paraId="302968F4" w14:textId="77777777" w:rsidR="00CD7B2E" w:rsidRPr="00F106E0" w:rsidRDefault="00CD7B2E" w:rsidP="00CD7B2E">
      <w:pPr>
        <w:pStyle w:val="FRABodyText"/>
      </w:pPr>
    </w:p>
    <w:p w14:paraId="3FAC35A1" w14:textId="77777777" w:rsidR="00CD7B2E" w:rsidRPr="00F106E0" w:rsidRDefault="00CD7B2E" w:rsidP="008E576F">
      <w:pPr>
        <w:numPr>
          <w:ilvl w:val="0"/>
          <w:numId w:val="9"/>
        </w:numPr>
        <w:spacing w:line="276" w:lineRule="auto"/>
        <w:rPr>
          <w:b/>
        </w:rPr>
      </w:pPr>
      <w:r w:rsidRPr="00F106E0">
        <w:rPr>
          <w:b/>
        </w:rPr>
        <w:t>Undeclared Workers</w:t>
      </w:r>
    </w:p>
    <w:p w14:paraId="60C3103A" w14:textId="4C9224EC" w:rsidR="00CD7B2E" w:rsidRPr="00A1666C" w:rsidRDefault="00CD7B2E" w:rsidP="00CD7B2E">
      <w:pPr>
        <w:pStyle w:val="FRABodyText"/>
      </w:pPr>
      <w:r>
        <w:rPr>
          <w:lang w:val="en-US"/>
        </w:rPr>
        <w:t>Undeclared workers, regardless of the hypotheses in which they perform their jobs, are deprived of a number of guarantees and safeguards labour and social security legislation gives them: guarantees regarding health and safety at work, and related compensation in case of an incident, regarding the compliance with working time and the due payment of working overtime and during holidays, regarding the payment of income from their labour and regarding the payment of health and social security contributions, the latter being a violation of both workers’ rights and the state’s proper functioning and financing. In terms of intersections, undeclared workers may, potentially, be part of the Roma or foreigners’ community, as well as the group of energy-poor persons and persons in precarious housing.</w:t>
      </w:r>
    </w:p>
    <w:p w14:paraId="059970B2" w14:textId="59A939F2" w:rsidR="00413573" w:rsidRPr="00A1666C" w:rsidRDefault="00413573" w:rsidP="008E576F">
      <w:pPr>
        <w:pStyle w:val="FRAHeading1"/>
        <w:numPr>
          <w:ilvl w:val="0"/>
          <w:numId w:val="5"/>
        </w:numPr>
        <w:jc w:val="both"/>
      </w:pPr>
      <w:bookmarkStart w:id="8" w:name="_Toc18446562"/>
      <w:r w:rsidRPr="00A1666C">
        <w:lastRenderedPageBreak/>
        <w:t xml:space="preserve">Summary table: </w:t>
      </w:r>
      <w:r w:rsidR="000644A2" w:rsidRPr="00A1666C">
        <w:t>legal and policy frameworks</w:t>
      </w:r>
      <w:r w:rsidRPr="00A1666C">
        <w:t xml:space="preserve"> (Annex 1)</w:t>
      </w:r>
      <w:bookmarkEnd w:id="8"/>
    </w:p>
    <w:p w14:paraId="136CF0E8" w14:textId="436255AA" w:rsidR="00413573" w:rsidRPr="008E576F" w:rsidRDefault="00413573" w:rsidP="006B6373">
      <w:pPr>
        <w:rPr>
          <w:lang w:val="bg-BG"/>
        </w:rPr>
      </w:pPr>
      <w:r w:rsidRPr="00A1666C">
        <w:t>The summary table will be annexed to the report.</w:t>
      </w:r>
      <w:bookmarkEnd w:id="0"/>
      <w:bookmarkEnd w:id="1"/>
      <w:bookmarkEnd w:id="2"/>
    </w:p>
    <w:sectPr w:rsidR="00413573" w:rsidRPr="008E576F" w:rsidSect="005C73C0">
      <w:footerReference w:type="default" r:id="rId8"/>
      <w:pgSz w:w="11906" w:h="16838"/>
      <w:pgMar w:top="1418" w:right="1758" w:bottom="1418" w:left="1758"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7DCC02" w14:textId="77777777" w:rsidR="008F4830" w:rsidRDefault="008F4830">
      <w:r>
        <w:separator/>
      </w:r>
    </w:p>
  </w:endnote>
  <w:endnote w:type="continuationSeparator" w:id="0">
    <w:p w14:paraId="62D60398" w14:textId="77777777" w:rsidR="008F4830" w:rsidRDefault="008F4830">
      <w:r>
        <w:continuationSeparator/>
      </w:r>
    </w:p>
  </w:endnote>
  <w:endnote w:type="continuationNotice" w:id="1">
    <w:p w14:paraId="185F668A" w14:textId="77777777" w:rsidR="008F4830" w:rsidRDefault="008F48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68CFD" w14:textId="3DA966E2" w:rsidR="00F83E6A" w:rsidRPr="00F83E6A" w:rsidRDefault="00F83E6A">
    <w:pPr>
      <w:pStyle w:val="Footer"/>
      <w:jc w:val="center"/>
      <w:rPr>
        <w:caps/>
        <w:noProof/>
      </w:rPr>
    </w:pPr>
    <w:r w:rsidRPr="00F83E6A">
      <w:rPr>
        <w:caps/>
      </w:rPr>
      <w:fldChar w:fldCharType="begin"/>
    </w:r>
    <w:r w:rsidRPr="00F83E6A">
      <w:rPr>
        <w:caps/>
      </w:rPr>
      <w:instrText xml:space="preserve"> PAGE   \* MERGEFORMAT </w:instrText>
    </w:r>
    <w:r w:rsidRPr="00F83E6A">
      <w:rPr>
        <w:caps/>
      </w:rPr>
      <w:fldChar w:fldCharType="separate"/>
    </w:r>
    <w:r w:rsidR="00655E1A">
      <w:rPr>
        <w:caps/>
        <w:noProof/>
      </w:rPr>
      <w:t>20</w:t>
    </w:r>
    <w:r w:rsidRPr="00F83E6A">
      <w:rPr>
        <w:caps/>
        <w:noProof/>
      </w:rPr>
      <w:fldChar w:fldCharType="end"/>
    </w:r>
  </w:p>
  <w:p w14:paraId="51EEDC9C" w14:textId="77777777" w:rsidR="00CD7B2E" w:rsidRDefault="00CD7B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9584C" w14:textId="77777777" w:rsidR="008F4830" w:rsidRDefault="008F4830">
      <w:r>
        <w:separator/>
      </w:r>
    </w:p>
  </w:footnote>
  <w:footnote w:type="continuationSeparator" w:id="0">
    <w:p w14:paraId="04748221" w14:textId="77777777" w:rsidR="008F4830" w:rsidRDefault="008F4830">
      <w:r>
        <w:continuationSeparator/>
      </w:r>
    </w:p>
  </w:footnote>
  <w:footnote w:type="continuationNotice" w:id="1">
    <w:p w14:paraId="0D8B6BA9" w14:textId="77777777" w:rsidR="008F4830" w:rsidRDefault="008F4830"/>
  </w:footnote>
  <w:footnote w:id="2">
    <w:p w14:paraId="1EAD6128" w14:textId="7394AFBE" w:rsidR="00CD7B2E" w:rsidRPr="00D7773B" w:rsidRDefault="00CD7B2E" w:rsidP="0077131A">
      <w:pPr>
        <w:pStyle w:val="FootnoteText"/>
      </w:pPr>
      <w:r w:rsidRPr="00D7773B">
        <w:rPr>
          <w:rStyle w:val="FootnoteReference"/>
        </w:rPr>
        <w:footnoteRef/>
      </w:r>
      <w:r w:rsidRPr="00D7773B">
        <w:t xml:space="preserve"> Bulgaria, Pre-school and School Education Act </w:t>
      </w:r>
      <w:r w:rsidRPr="00D7773B">
        <w:rPr>
          <w:i/>
          <w:iCs/>
        </w:rPr>
        <w:t>(</w:t>
      </w:r>
      <w:r w:rsidRPr="00D7773B">
        <w:rPr>
          <w:i/>
          <w:iCs/>
          <w:lang w:val="bg-BG"/>
        </w:rPr>
        <w:t>Закон за предучилищното и училищното образование</w:t>
      </w:r>
      <w:r w:rsidRPr="00D7773B">
        <w:rPr>
          <w:i/>
          <w:iCs/>
        </w:rPr>
        <w:t>)</w:t>
      </w:r>
      <w:r w:rsidRPr="00D7773B">
        <w:rPr>
          <w:lang w:val="bg-BG"/>
        </w:rPr>
        <w:t xml:space="preserve">, </w:t>
      </w:r>
      <w:r w:rsidRPr="00D7773B">
        <w:t>1 August 2016,</w:t>
      </w:r>
      <w:r w:rsidRPr="00D7773B">
        <w:rPr>
          <w:lang w:val="bg-BG"/>
        </w:rPr>
        <w:t xml:space="preserve"> </w:t>
      </w:r>
      <w:hyperlink r:id="rId1" w:history="1">
        <w:r w:rsidRPr="00D7773B">
          <w:rPr>
            <w:rStyle w:val="Hyperlink"/>
          </w:rPr>
          <w:t>https://lex.bg/bg/laws/ldoc/2136641509</w:t>
        </w:r>
      </w:hyperlink>
      <w:r w:rsidRPr="00D7773B">
        <w:rPr>
          <w:rStyle w:val="Hyperlink"/>
        </w:rPr>
        <w:t xml:space="preserve">, </w:t>
      </w:r>
      <w:r w:rsidRPr="00D7773B">
        <w:t>Art. 263, para. 1, item 9, Art. 282, para. 14, item 1</w:t>
      </w:r>
    </w:p>
  </w:footnote>
  <w:footnote w:id="3">
    <w:p w14:paraId="39BABBF8" w14:textId="1EA60C17" w:rsidR="00CD7B2E" w:rsidRPr="00D7773B" w:rsidRDefault="00CD7B2E" w:rsidP="0077131A">
      <w:pPr>
        <w:pStyle w:val="FootnoteText"/>
      </w:pPr>
      <w:r w:rsidRPr="00D7773B">
        <w:rPr>
          <w:rStyle w:val="FootnoteReference"/>
        </w:rPr>
        <w:footnoteRef/>
      </w:r>
      <w:r w:rsidRPr="00D7773B">
        <w:t xml:space="preserve"> Bulgaria, Asylum and Refugees Act (</w:t>
      </w:r>
      <w:r w:rsidRPr="00D7773B">
        <w:rPr>
          <w:i/>
          <w:lang w:val="bg-BG"/>
        </w:rPr>
        <w:t>Закон за убежището и бежанците</w:t>
      </w:r>
      <w:r w:rsidRPr="00D7773B">
        <w:t xml:space="preserve">), </w:t>
      </w:r>
      <w:r w:rsidRPr="00D7773B">
        <w:rPr>
          <w:lang w:val="bg-BG"/>
        </w:rPr>
        <w:t xml:space="preserve">1 </w:t>
      </w:r>
      <w:r w:rsidRPr="00D7773B">
        <w:t xml:space="preserve">December 2002, </w:t>
      </w:r>
      <w:hyperlink r:id="rId2" w:history="1">
        <w:r w:rsidRPr="00D7773B">
          <w:rPr>
            <w:rStyle w:val="Hyperlink"/>
          </w:rPr>
          <w:t>https://lex.bg/laws/ldoc/2135453184</w:t>
        </w:r>
      </w:hyperlink>
      <w:r w:rsidRPr="00D7773B">
        <w:rPr>
          <w:rStyle w:val="Hyperlink"/>
          <w:color w:val="auto"/>
          <w:u w:val="none"/>
        </w:rPr>
        <w:t xml:space="preserve">, additional provisions, para. 1, item 17 </w:t>
      </w:r>
      <w:r w:rsidRPr="00D7773B">
        <w:rPr>
          <w:rStyle w:val="Hyperlink"/>
        </w:rPr>
        <w:t xml:space="preserve"> </w:t>
      </w:r>
    </w:p>
  </w:footnote>
  <w:footnote w:id="4">
    <w:p w14:paraId="7D858C8A" w14:textId="3CCE45D1" w:rsidR="00CD7B2E" w:rsidRPr="00D7773B" w:rsidRDefault="00CD7B2E" w:rsidP="0077131A">
      <w:pPr>
        <w:pStyle w:val="FootnoteText"/>
      </w:pPr>
      <w:r w:rsidRPr="00D7773B">
        <w:rPr>
          <w:rStyle w:val="FootnoteReference"/>
        </w:rPr>
        <w:footnoteRef/>
      </w:r>
      <w:r w:rsidRPr="00D7773B">
        <w:t xml:space="preserve"> Bulgaria, Council of Ministers </w:t>
      </w:r>
      <w:r w:rsidRPr="00D7773B">
        <w:rPr>
          <w:i/>
        </w:rPr>
        <w:t>(</w:t>
      </w:r>
      <w:r w:rsidRPr="00D7773B">
        <w:rPr>
          <w:i/>
          <w:lang w:val="bg-BG"/>
        </w:rPr>
        <w:t>Министерски съвет на Република България</w:t>
      </w:r>
      <w:r w:rsidRPr="00D7773B">
        <w:rPr>
          <w:i/>
        </w:rPr>
        <w:t>)</w:t>
      </w:r>
      <w:r w:rsidRPr="00D7773B">
        <w:rPr>
          <w:lang w:val="bg-BG"/>
        </w:rPr>
        <w:t xml:space="preserve">, </w:t>
      </w:r>
      <w:r w:rsidRPr="00D7773B">
        <w:t xml:space="preserve">The National Health Strategy 2020 </w:t>
      </w:r>
      <w:r w:rsidRPr="00D7773B">
        <w:rPr>
          <w:i/>
        </w:rPr>
        <w:t>(</w:t>
      </w:r>
      <w:r w:rsidRPr="00D7773B">
        <w:rPr>
          <w:i/>
          <w:lang w:val="bg-BG"/>
        </w:rPr>
        <w:t>Национална здравна стратегия</w:t>
      </w:r>
      <w:r w:rsidRPr="00D7773B">
        <w:rPr>
          <w:i/>
        </w:rPr>
        <w:t xml:space="preserve"> 2020)</w:t>
      </w:r>
      <w:r w:rsidRPr="00D7773B">
        <w:rPr>
          <w:lang w:val="bg-BG"/>
        </w:rPr>
        <w:t xml:space="preserve">, </w:t>
      </w:r>
      <w:r w:rsidRPr="00D7773B">
        <w:rPr>
          <w:i/>
          <w:lang w:val="bg-BG"/>
        </w:rPr>
        <w:t xml:space="preserve"> </w:t>
      </w:r>
      <w:r w:rsidRPr="00D7773B">
        <w:rPr>
          <w:lang w:val="bg-BG"/>
        </w:rPr>
        <w:t>1</w:t>
      </w:r>
      <w:r w:rsidRPr="00D7773B">
        <w:t xml:space="preserve">7 December 2015, </w:t>
      </w:r>
      <w:hyperlink r:id="rId3" w:history="1">
        <w:r w:rsidRPr="00D7773B">
          <w:rPr>
            <w:rStyle w:val="Hyperlink"/>
          </w:rPr>
          <w:t>http://strategy.bg/StrategicDocuments/View.aspx?lang=bg-BG&amp;Id=989</w:t>
        </w:r>
      </w:hyperlink>
      <w:r w:rsidRPr="00D7773B">
        <w:rPr>
          <w:rStyle w:val="Hyperlink"/>
          <w:color w:val="auto"/>
          <w:u w:val="none"/>
        </w:rPr>
        <w:t>, p. 51 and following</w:t>
      </w:r>
    </w:p>
  </w:footnote>
  <w:footnote w:id="5">
    <w:p w14:paraId="4EFAA176" w14:textId="741538C4" w:rsidR="00CD7B2E" w:rsidRPr="00D7773B" w:rsidRDefault="00CD7B2E" w:rsidP="0077131A">
      <w:pPr>
        <w:pStyle w:val="FootnoteText"/>
      </w:pPr>
      <w:r w:rsidRPr="00D7773B">
        <w:rPr>
          <w:rStyle w:val="FootnoteReference"/>
        </w:rPr>
        <w:footnoteRef/>
      </w:r>
      <w:r w:rsidRPr="00D7773B">
        <w:t xml:space="preserve"> Bulgaria, National Assembly of the Republic of Bulgaria </w:t>
      </w:r>
      <w:r w:rsidRPr="00D7773B">
        <w:rPr>
          <w:i/>
          <w:iCs/>
        </w:rPr>
        <w:t>(</w:t>
      </w:r>
      <w:r w:rsidRPr="00D7773B">
        <w:rPr>
          <w:i/>
          <w:iCs/>
          <w:lang w:val="bg-BG"/>
        </w:rPr>
        <w:t>Народно събрание на Република България</w:t>
      </w:r>
      <w:r w:rsidRPr="00D7773B">
        <w:rPr>
          <w:i/>
          <w:iCs/>
        </w:rPr>
        <w:t>)</w:t>
      </w:r>
      <w:r w:rsidRPr="00D7773B">
        <w:rPr>
          <w:i/>
          <w:iCs/>
          <w:lang w:val="bg-BG"/>
        </w:rPr>
        <w:t xml:space="preserve"> </w:t>
      </w:r>
      <w:r w:rsidRPr="00D7773B">
        <w:rPr>
          <w:lang w:val="bg-BG"/>
        </w:rPr>
        <w:t xml:space="preserve">(2012) </w:t>
      </w:r>
      <w:r w:rsidRPr="00D7773B">
        <w:t xml:space="preserve">National Strategy of the Republic of Bulgaria for Roma Integration </w:t>
      </w:r>
      <w:r w:rsidRPr="00D7773B">
        <w:rPr>
          <w:i/>
          <w:iCs/>
          <w:lang w:val="bg-BG"/>
        </w:rPr>
        <w:t xml:space="preserve">(Национална стратегия на Република България за интегриране на ромите (2012 - 2020)), </w:t>
      </w:r>
      <w:r w:rsidRPr="00D7773B">
        <w:t xml:space="preserve">1 March 2012, </w:t>
      </w:r>
      <w:hyperlink r:id="rId4" w:history="1">
        <w:r w:rsidRPr="00D7773B">
          <w:rPr>
            <w:rStyle w:val="Hyperlink"/>
          </w:rPr>
          <w:t>https://www.strategy.bg/StrategicDocuments/View.aspx?lang=bg-BG&amp;Id=726</w:t>
        </w:r>
      </w:hyperlink>
      <w:r w:rsidRPr="00D7773B">
        <w:rPr>
          <w:lang w:val="bg-BG"/>
        </w:rPr>
        <w:t xml:space="preserve">, </w:t>
      </w:r>
      <w:r w:rsidRPr="00D7773B">
        <w:t>p. 1</w:t>
      </w:r>
    </w:p>
  </w:footnote>
  <w:footnote w:id="6">
    <w:p w14:paraId="6C87CC30" w14:textId="3C932B1E" w:rsidR="00CD7B2E" w:rsidRPr="00D7773B" w:rsidRDefault="00CD7B2E" w:rsidP="0077131A">
      <w:pPr>
        <w:pStyle w:val="FootnoteText"/>
        <w:rPr>
          <w:lang w:val="bg-BG"/>
        </w:rPr>
      </w:pPr>
      <w:r w:rsidRPr="00D7773B">
        <w:rPr>
          <w:rStyle w:val="FootnoteReference"/>
        </w:rPr>
        <w:footnoteRef/>
      </w:r>
      <w:r w:rsidRPr="00D7773B">
        <w:t xml:space="preserve"> Bulgaria, Active Citizens Fund (2019) Glossary of terms, </w:t>
      </w:r>
      <w:hyperlink r:id="rId5" w:history="1">
        <w:r w:rsidRPr="00D7773B">
          <w:rPr>
            <w:rStyle w:val="Hyperlink"/>
          </w:rPr>
          <w:t>https://www.activecitizensfund.bg/public/portfolios/view.cfm?id=21</w:t>
        </w:r>
      </w:hyperlink>
    </w:p>
  </w:footnote>
  <w:footnote w:id="7">
    <w:p w14:paraId="618E9CBE" w14:textId="7F20FB2D" w:rsidR="00CD7B2E" w:rsidRPr="00D7773B" w:rsidRDefault="00CD7B2E" w:rsidP="0077131A">
      <w:pPr>
        <w:pStyle w:val="FootnoteText"/>
      </w:pPr>
      <w:r w:rsidRPr="00D7773B">
        <w:rPr>
          <w:rStyle w:val="FootnoteReference"/>
        </w:rPr>
        <w:footnoteRef/>
      </w:r>
      <w:r w:rsidRPr="00D7773B">
        <w:t xml:space="preserve"> Bulgaria, Child Protection Act (</w:t>
      </w:r>
      <w:r w:rsidRPr="00D7773B">
        <w:rPr>
          <w:i/>
          <w:lang w:val="bg-BG"/>
        </w:rPr>
        <w:t>Закон за закрила на детето</w:t>
      </w:r>
      <w:r w:rsidRPr="00D7773B">
        <w:rPr>
          <w:lang w:val="bg-BG"/>
        </w:rPr>
        <w:t xml:space="preserve">), 20 </w:t>
      </w:r>
      <w:r w:rsidRPr="00D7773B">
        <w:t xml:space="preserve">June 2000, </w:t>
      </w:r>
      <w:hyperlink r:id="rId6" w:history="1">
        <w:r w:rsidRPr="00D7773B">
          <w:rPr>
            <w:rStyle w:val="Hyperlink"/>
          </w:rPr>
          <w:t>https://www.lex.bg/laws/ldoc/2134925825</w:t>
        </w:r>
      </w:hyperlink>
      <w:r w:rsidRPr="00D7773B">
        <w:rPr>
          <w:rStyle w:val="Hyperlink"/>
          <w:color w:val="auto"/>
          <w:u w:val="none"/>
        </w:rPr>
        <w:t>, para. 1, item 11 of Additional provisions in relation to Art. 2, Art. 3, item 4 and Art. 5, para. 1</w:t>
      </w:r>
    </w:p>
  </w:footnote>
  <w:footnote w:id="8">
    <w:p w14:paraId="06BE2521" w14:textId="7D86DE0E" w:rsidR="00CD7B2E" w:rsidRPr="00D7773B" w:rsidRDefault="00CD7B2E" w:rsidP="0077131A">
      <w:pPr>
        <w:pStyle w:val="FootnoteText"/>
      </w:pPr>
      <w:r w:rsidRPr="00D7773B">
        <w:rPr>
          <w:rStyle w:val="FootnoteReference"/>
        </w:rPr>
        <w:footnoteRef/>
      </w:r>
      <w:r w:rsidRPr="00D7773B">
        <w:t xml:space="preserve"> Bulgaria, Family Allowances for Children Act (</w:t>
      </w:r>
      <w:r w:rsidRPr="00D7773B">
        <w:rPr>
          <w:i/>
          <w:lang w:val="bg-BG"/>
        </w:rPr>
        <w:t>Закон за семейни помощи за деца</w:t>
      </w:r>
      <w:r w:rsidRPr="00D7773B">
        <w:rPr>
          <w:lang w:val="bg-BG"/>
        </w:rPr>
        <w:t xml:space="preserve">), 1 </w:t>
      </w:r>
      <w:r w:rsidRPr="00D7773B">
        <w:t xml:space="preserve">April 2002, </w:t>
      </w:r>
      <w:r w:rsidRPr="00D7773B">
        <w:rPr>
          <w:rStyle w:val="Hyperlink"/>
        </w:rPr>
        <w:t>https://lex.bg/en/laws/ldoc/2135441920</w:t>
      </w:r>
      <w:r w:rsidRPr="00D7773B">
        <w:rPr>
          <w:rStyle w:val="Hyperlink"/>
          <w:color w:val="auto"/>
          <w:u w:val="none"/>
        </w:rPr>
        <w:t>, Art. 2, para. 3, item 2</w:t>
      </w:r>
    </w:p>
  </w:footnote>
  <w:footnote w:id="9">
    <w:p w14:paraId="271ED7E2" w14:textId="6A0E4D22" w:rsidR="00CD7B2E" w:rsidRPr="00D7773B" w:rsidRDefault="00CD7B2E" w:rsidP="0077131A">
      <w:pPr>
        <w:pStyle w:val="FootnoteText"/>
      </w:pPr>
      <w:r w:rsidRPr="00D7773B">
        <w:rPr>
          <w:rStyle w:val="FootnoteReference"/>
        </w:rPr>
        <w:footnoteRef/>
      </w:r>
      <w:r w:rsidRPr="00D7773B">
        <w:t xml:space="preserve"> Bulgaria, National Assembly of the Republic of Bulgaria (</w:t>
      </w:r>
      <w:r w:rsidRPr="00D7773B">
        <w:rPr>
          <w:i/>
          <w:lang w:val="bg-BG"/>
        </w:rPr>
        <w:t>Народно събрание на Република България</w:t>
      </w:r>
      <w:r w:rsidRPr="00D7773B">
        <w:rPr>
          <w:lang w:val="bg-BG"/>
        </w:rPr>
        <w:t>)</w:t>
      </w:r>
      <w:r w:rsidRPr="00D7773B">
        <w:t xml:space="preserve"> (2008) National Strategy for the Child</w:t>
      </w:r>
      <w:r w:rsidRPr="00D7773B">
        <w:rPr>
          <w:lang w:val="bg-BG"/>
        </w:rPr>
        <w:t xml:space="preserve"> 2008-2018</w:t>
      </w:r>
      <w:r w:rsidRPr="00D7773B">
        <w:t xml:space="preserve"> (</w:t>
      </w:r>
      <w:r w:rsidRPr="00D7773B">
        <w:rPr>
          <w:i/>
          <w:lang w:val="bg-BG"/>
        </w:rPr>
        <w:t>Национална стратегия за детето</w:t>
      </w:r>
      <w:r w:rsidRPr="00D7773B">
        <w:rPr>
          <w:lang w:val="bg-BG"/>
        </w:rPr>
        <w:t xml:space="preserve"> </w:t>
      </w:r>
      <w:r w:rsidRPr="00D7773B">
        <w:rPr>
          <w:i/>
          <w:lang w:val="bg-BG"/>
        </w:rPr>
        <w:t>(2008-2018)</w:t>
      </w:r>
      <w:r w:rsidRPr="00D7773B">
        <w:t xml:space="preserve">), 31 January 2008, </w:t>
      </w:r>
      <w:hyperlink r:id="rId7" w:history="1">
        <w:r w:rsidRPr="00D7773B">
          <w:rPr>
            <w:rStyle w:val="Hyperlink"/>
          </w:rPr>
          <w:t>http://www.strategy.bg/StrategicDocuments/View.aspx?Id=464</w:t>
        </w:r>
      </w:hyperlink>
      <w:r w:rsidRPr="00D7773B">
        <w:t>, p 12-19</w:t>
      </w:r>
    </w:p>
  </w:footnote>
  <w:footnote w:id="10">
    <w:p w14:paraId="52F2572D" w14:textId="38DC90CF" w:rsidR="00CD7B2E" w:rsidRPr="00D7773B" w:rsidRDefault="00CD7B2E" w:rsidP="0077131A">
      <w:pPr>
        <w:pStyle w:val="FootnoteText"/>
      </w:pPr>
      <w:r w:rsidRPr="00D7773B">
        <w:rPr>
          <w:rStyle w:val="FootnoteReference"/>
        </w:rPr>
        <w:footnoteRef/>
      </w:r>
      <w:r w:rsidRPr="00D7773B">
        <w:t xml:space="preserve"> Bulgaria, ECPAT Bulgaria (2012) Situational analysis of some groups of children at risk in Bulgaria </w:t>
      </w:r>
      <w:r w:rsidRPr="00D7773B">
        <w:rPr>
          <w:i/>
        </w:rPr>
        <w:t>(</w:t>
      </w:r>
      <w:r w:rsidRPr="00D7773B">
        <w:rPr>
          <w:i/>
          <w:lang w:val="bg-BG"/>
        </w:rPr>
        <w:t>Ситуационен анализ на някои групи деца в риск в България</w:t>
      </w:r>
      <w:r w:rsidRPr="00D7773B">
        <w:rPr>
          <w:i/>
        </w:rPr>
        <w:t>)</w:t>
      </w:r>
      <w:r w:rsidRPr="00D7773B">
        <w:t xml:space="preserve">, </w:t>
      </w:r>
      <w:hyperlink r:id="rId8" w:history="1">
        <w:r w:rsidRPr="00D7773B">
          <w:rPr>
            <w:rStyle w:val="Hyperlink"/>
          </w:rPr>
          <w:t>http://nmd.bg/wp-content/uploads/2012/05/1428_SIT._ANALYSIS_2012_bg_NEW_original.pdf</w:t>
        </w:r>
      </w:hyperlink>
      <w:r w:rsidRPr="00D7773B">
        <w:t xml:space="preserve"> </w:t>
      </w:r>
    </w:p>
  </w:footnote>
  <w:footnote w:id="11">
    <w:p w14:paraId="0AC6AE75" w14:textId="4545873B" w:rsidR="00CD7B2E" w:rsidRPr="00D7773B" w:rsidRDefault="00CD7B2E" w:rsidP="0077131A">
      <w:pPr>
        <w:pStyle w:val="FootnoteText"/>
      </w:pPr>
      <w:r w:rsidRPr="00D7773B">
        <w:rPr>
          <w:rStyle w:val="FootnoteReference"/>
        </w:rPr>
        <w:footnoteRef/>
      </w:r>
      <w:r w:rsidRPr="00D7773B">
        <w:t xml:space="preserve"> Bulgaria, Constitution of the Republic of Bulgaria (</w:t>
      </w:r>
      <w:r w:rsidRPr="00D7773B">
        <w:rPr>
          <w:i/>
          <w:lang w:val="bg-BG"/>
        </w:rPr>
        <w:t>Конституция на Република България</w:t>
      </w:r>
      <w:r w:rsidRPr="00D7773B">
        <w:t xml:space="preserve">), </w:t>
      </w:r>
      <w:r w:rsidRPr="00D7773B">
        <w:rPr>
          <w:lang w:val="bg-BG"/>
        </w:rPr>
        <w:t>13</w:t>
      </w:r>
      <w:r w:rsidRPr="00D7773B">
        <w:t xml:space="preserve"> July </w:t>
      </w:r>
      <w:r w:rsidRPr="00D7773B">
        <w:rPr>
          <w:lang w:val="bg-BG"/>
        </w:rPr>
        <w:t>1991</w:t>
      </w:r>
      <w:r w:rsidRPr="00D7773B">
        <w:t xml:space="preserve">, </w:t>
      </w:r>
      <w:hyperlink r:id="rId9" w:history="1">
        <w:r w:rsidRPr="00D7773B">
          <w:rPr>
            <w:rStyle w:val="Hyperlink"/>
          </w:rPr>
          <w:t>https://www.lex.bg/laws/ldoc/521957377</w:t>
        </w:r>
      </w:hyperlink>
      <w:r w:rsidRPr="00D7773B">
        <w:rPr>
          <w:rStyle w:val="Hyperlink"/>
          <w:color w:val="000000" w:themeColor="text1"/>
          <w:u w:val="none"/>
        </w:rPr>
        <w:t>, Art. 48</w:t>
      </w:r>
      <w:r w:rsidRPr="00D7773B">
        <w:rPr>
          <w:rStyle w:val="Hyperlink"/>
          <w:color w:val="000000" w:themeColor="text1"/>
          <w:u w:val="none"/>
          <w:lang w:val="bg-BG"/>
        </w:rPr>
        <w:t xml:space="preserve">, </w:t>
      </w:r>
      <w:r w:rsidRPr="00D7773B">
        <w:rPr>
          <w:rStyle w:val="Hyperlink"/>
          <w:color w:val="000000" w:themeColor="text1"/>
          <w:u w:val="none"/>
        </w:rPr>
        <w:t>para. 2, Art. 51, para. 3</w:t>
      </w:r>
    </w:p>
  </w:footnote>
  <w:footnote w:id="12">
    <w:p w14:paraId="01EEA61E" w14:textId="32052D69" w:rsidR="00CD7B2E" w:rsidRPr="00D7773B" w:rsidRDefault="00CD7B2E" w:rsidP="0077131A">
      <w:pPr>
        <w:pStyle w:val="FootnoteText"/>
      </w:pPr>
      <w:r w:rsidRPr="00D7773B">
        <w:rPr>
          <w:rStyle w:val="FootnoteReference"/>
        </w:rPr>
        <w:footnoteRef/>
      </w:r>
      <w:r w:rsidRPr="00D7773B">
        <w:t xml:space="preserve"> Bulgaria, People with Disabilities Act </w:t>
      </w:r>
      <w:r w:rsidRPr="00D7773B">
        <w:rPr>
          <w:i/>
        </w:rPr>
        <w:t>(</w:t>
      </w:r>
      <w:r w:rsidRPr="00D7773B">
        <w:rPr>
          <w:i/>
          <w:lang w:val="bg-BG"/>
        </w:rPr>
        <w:t>Закон за хората с увреждания</w:t>
      </w:r>
      <w:r w:rsidRPr="00D7773B">
        <w:rPr>
          <w:i/>
        </w:rPr>
        <w:t>)</w:t>
      </w:r>
      <w:r w:rsidRPr="00D7773B">
        <w:rPr>
          <w:i/>
          <w:lang w:val="bg-BG"/>
        </w:rPr>
        <w:t xml:space="preserve">, </w:t>
      </w:r>
      <w:r w:rsidRPr="00D7773B">
        <w:rPr>
          <w:lang w:val="bg-BG"/>
        </w:rPr>
        <w:t xml:space="preserve">1 </w:t>
      </w:r>
      <w:r w:rsidRPr="00D7773B">
        <w:t xml:space="preserve">January 2019, </w:t>
      </w:r>
      <w:hyperlink r:id="rId10" w:history="1">
        <w:r w:rsidRPr="00D7773B">
          <w:rPr>
            <w:rStyle w:val="Hyperlink"/>
          </w:rPr>
          <w:t>https://www.lex.bg/bg/laws/ldoc/2137189213</w:t>
        </w:r>
      </w:hyperlink>
      <w:r w:rsidRPr="00D7773B">
        <w:rPr>
          <w:rStyle w:val="Hyperlink"/>
        </w:rPr>
        <w:t>,</w:t>
      </w:r>
      <w:r w:rsidRPr="00D7773B">
        <w:t xml:space="preserve"> Additional provisions, para. 1, items 1-2</w:t>
      </w:r>
    </w:p>
  </w:footnote>
  <w:footnote w:id="13">
    <w:p w14:paraId="5B340A9A" w14:textId="780F3AA3" w:rsidR="00CD7B2E" w:rsidRPr="00D7773B" w:rsidRDefault="00CD7B2E" w:rsidP="0077131A">
      <w:pPr>
        <w:pStyle w:val="FootnoteText"/>
      </w:pPr>
      <w:r w:rsidRPr="00D7773B">
        <w:rPr>
          <w:rStyle w:val="FootnoteReference"/>
        </w:rPr>
        <w:footnoteRef/>
      </w:r>
      <w:r w:rsidRPr="00D7773B">
        <w:t xml:space="preserve"> Bulgaria, Center for Independent Living </w:t>
      </w:r>
      <w:r w:rsidRPr="00D7773B">
        <w:rPr>
          <w:i/>
        </w:rPr>
        <w:t>(</w:t>
      </w:r>
      <w:r w:rsidRPr="00D7773B">
        <w:rPr>
          <w:i/>
          <w:lang w:val="bg-BG"/>
        </w:rPr>
        <w:t>Център за независим живот</w:t>
      </w:r>
      <w:r w:rsidRPr="00D7773B">
        <w:rPr>
          <w:i/>
        </w:rPr>
        <w:t>)</w:t>
      </w:r>
      <w:r w:rsidRPr="00D7773B">
        <w:rPr>
          <w:i/>
          <w:lang w:val="bg-BG"/>
        </w:rPr>
        <w:t xml:space="preserve"> </w:t>
      </w:r>
      <w:r w:rsidRPr="00D7773B">
        <w:rPr>
          <w:lang w:val="bg-BG"/>
        </w:rPr>
        <w:t xml:space="preserve">(2016) </w:t>
      </w:r>
      <w:r w:rsidRPr="00D7773B">
        <w:t xml:space="preserve">Free will or somebody else’s will – human rights advocacy for people with disabilities </w:t>
      </w:r>
      <w:r w:rsidRPr="00D7773B">
        <w:rPr>
          <w:i/>
          <w:lang w:val="bg-BG"/>
        </w:rPr>
        <w:t>(Живот на воля или по чужда воля! – застъпничество за човешки права на хората с увреждания)</w:t>
      </w:r>
      <w:r w:rsidRPr="00D7773B">
        <w:t xml:space="preserve">, </w:t>
      </w:r>
      <w:hyperlink r:id="rId11" w:history="1">
        <w:r w:rsidRPr="00D7773B">
          <w:rPr>
            <w:rStyle w:val="Hyperlink"/>
          </w:rPr>
          <w:t>http://www.cil.bg/userfiles/nabliudatelnitsa/Report-General-Final.pdf</w:t>
        </w:r>
      </w:hyperlink>
      <w:r w:rsidRPr="00D7773B">
        <w:t>, p. 4</w:t>
      </w:r>
    </w:p>
  </w:footnote>
  <w:footnote w:id="14">
    <w:p w14:paraId="01EA7C4D" w14:textId="34905D32" w:rsidR="00CD7B2E" w:rsidRPr="00D7773B" w:rsidRDefault="00CD7B2E" w:rsidP="0077131A">
      <w:pPr>
        <w:pStyle w:val="FootnoteText"/>
      </w:pPr>
      <w:r w:rsidRPr="00D7773B">
        <w:rPr>
          <w:rStyle w:val="FootnoteReference"/>
        </w:rPr>
        <w:footnoteRef/>
      </w:r>
      <w:r w:rsidRPr="00D7773B">
        <w:t xml:space="preserve"> Bulgaria, Youth Act </w:t>
      </w:r>
      <w:r w:rsidRPr="00D7773B">
        <w:rPr>
          <w:i/>
        </w:rPr>
        <w:t>(</w:t>
      </w:r>
      <w:r w:rsidRPr="00D7773B">
        <w:rPr>
          <w:i/>
          <w:lang w:val="bg-BG"/>
        </w:rPr>
        <w:t>Закон за младежта</w:t>
      </w:r>
      <w:r w:rsidRPr="00D7773B">
        <w:rPr>
          <w:i/>
        </w:rPr>
        <w:t>)</w:t>
      </w:r>
      <w:r w:rsidRPr="00D7773B">
        <w:rPr>
          <w:i/>
          <w:lang w:val="bg-BG"/>
        </w:rPr>
        <w:t xml:space="preserve">, </w:t>
      </w:r>
      <w:r w:rsidRPr="00D7773B">
        <w:rPr>
          <w:lang w:val="bg-BG"/>
        </w:rPr>
        <w:t xml:space="preserve">20 </w:t>
      </w:r>
      <w:r w:rsidRPr="00D7773B">
        <w:t xml:space="preserve">April 2012, </w:t>
      </w:r>
      <w:hyperlink r:id="rId12" w:history="1">
        <w:r w:rsidRPr="00D7773B">
          <w:rPr>
            <w:rStyle w:val="Hyperlink"/>
          </w:rPr>
          <w:t>https://www.lex.bg/laws/ldoc/2135786802</w:t>
        </w:r>
      </w:hyperlink>
      <w:r w:rsidRPr="00D7773B">
        <w:t>, par. 1 of additional provisions</w:t>
      </w:r>
    </w:p>
  </w:footnote>
  <w:footnote w:id="15">
    <w:p w14:paraId="65C3C601" w14:textId="77777777" w:rsidR="00CD7B2E" w:rsidRPr="00D7773B" w:rsidRDefault="00CD7B2E" w:rsidP="0077131A">
      <w:pPr>
        <w:pStyle w:val="FootnoteText"/>
      </w:pPr>
      <w:r w:rsidRPr="00D7773B">
        <w:rPr>
          <w:rStyle w:val="FootnoteReference"/>
        </w:rPr>
        <w:footnoteRef/>
      </w:r>
      <w:r w:rsidRPr="00D7773B">
        <w:t xml:space="preserve"> Bulgaria, National Assembly </w:t>
      </w:r>
      <w:r w:rsidRPr="00D7773B">
        <w:rPr>
          <w:i/>
        </w:rPr>
        <w:t>(</w:t>
      </w:r>
      <w:r w:rsidRPr="00D7773B">
        <w:rPr>
          <w:i/>
          <w:lang w:val="bg-BG"/>
        </w:rPr>
        <w:t>Народно събрание на Република България</w:t>
      </w:r>
      <w:r w:rsidRPr="00D7773B">
        <w:rPr>
          <w:i/>
        </w:rPr>
        <w:t>)</w:t>
      </w:r>
      <w:r w:rsidRPr="00D7773B">
        <w:rPr>
          <w:lang w:val="bg-BG"/>
        </w:rPr>
        <w:t xml:space="preserve"> </w:t>
      </w:r>
      <w:r w:rsidRPr="00D7773B">
        <w:t xml:space="preserve">National Youth Strategy (2012-2020)  </w:t>
      </w:r>
      <w:r w:rsidRPr="00D7773B">
        <w:rPr>
          <w:i/>
        </w:rPr>
        <w:t>(</w:t>
      </w:r>
      <w:r w:rsidRPr="00D7773B">
        <w:rPr>
          <w:i/>
          <w:lang w:val="bg-BG"/>
        </w:rPr>
        <w:t>Национална стратегия за младежта (2012-2020)</w:t>
      </w:r>
      <w:r w:rsidRPr="00D7773B">
        <w:rPr>
          <w:i/>
        </w:rPr>
        <w:t>)</w:t>
      </w:r>
      <w:r w:rsidRPr="00D7773B">
        <w:rPr>
          <w:lang w:val="bg-BG"/>
        </w:rPr>
        <w:t xml:space="preserve">, </w:t>
      </w:r>
      <w:hyperlink r:id="rId13" w:history="1">
        <w:r w:rsidRPr="00D7773B">
          <w:rPr>
            <w:rStyle w:val="Hyperlink"/>
            <w:lang w:val="bg-BG"/>
          </w:rPr>
          <w:t>https://www.google.com/url?sa=t&amp;rct=j&amp;q=&amp;esrc=s&amp;source=web&amp;cd=1&amp;cad=rja&amp;uact=8&amp;ved=2ahUKEwjY3pvV26DkAhWo_CoKHckJCX0QFjAAegQIARAC&amp;url=http%3A%2F%2Fmpes.government.bg%2FDocuments%2FDocuments%2FStrategii%2Fstrategy_youth_2012-2020.pdf&amp;usg=AOvVaw1WVX8xsHVDOAFtE1wIEseR</w:t>
        </w:r>
      </w:hyperlink>
      <w:r w:rsidRPr="00D7773B">
        <w:t xml:space="preserve"> </w:t>
      </w:r>
    </w:p>
  </w:footnote>
  <w:footnote w:id="16">
    <w:p w14:paraId="0D341D87" w14:textId="74EAE850" w:rsidR="00CD7B2E" w:rsidRPr="00D7773B" w:rsidRDefault="00CD7B2E" w:rsidP="0077131A">
      <w:pPr>
        <w:pStyle w:val="FootnoteText"/>
        <w:rPr>
          <w:color w:val="000000"/>
        </w:rPr>
      </w:pPr>
      <w:r w:rsidRPr="00D7773B">
        <w:rPr>
          <w:rStyle w:val="FootnoteReference"/>
        </w:rPr>
        <w:footnoteRef/>
      </w:r>
      <w:r w:rsidRPr="00D7773B">
        <w:t xml:space="preserve"> Bulgaria, Social Services Act</w:t>
      </w:r>
      <w:r w:rsidRPr="00D7773B">
        <w:rPr>
          <w:lang w:val="bg-BG"/>
        </w:rPr>
        <w:t xml:space="preserve"> (</w:t>
      </w:r>
      <w:r w:rsidRPr="00D7773B">
        <w:rPr>
          <w:i/>
        </w:rPr>
        <w:t>Закон за социалните услуги</w:t>
      </w:r>
      <w:r w:rsidRPr="00D7773B">
        <w:rPr>
          <w:lang w:val="bg-BG"/>
        </w:rPr>
        <w:t>),</w:t>
      </w:r>
      <w:r w:rsidRPr="00D7773B">
        <w:t xml:space="preserve"> 1 January 2020 </w:t>
      </w:r>
      <w:hyperlink r:id="rId14" w:history="1">
        <w:r w:rsidRPr="00D7773B">
          <w:rPr>
            <w:rStyle w:val="Hyperlink"/>
          </w:rPr>
          <w:t>https://www.lex.bg/bg/laws/ldoc/2137191914</w:t>
        </w:r>
      </w:hyperlink>
      <w:r w:rsidRPr="00D7773B">
        <w:rPr>
          <w:rStyle w:val="Hyperlink"/>
          <w:color w:val="000000"/>
        </w:rPr>
        <w:t xml:space="preserve"> </w:t>
      </w:r>
    </w:p>
  </w:footnote>
  <w:footnote w:id="17">
    <w:p w14:paraId="349A37C9" w14:textId="642362F8" w:rsidR="00877DF1" w:rsidRPr="00877DF1" w:rsidRDefault="00877DF1">
      <w:pPr>
        <w:pStyle w:val="FootnoteText"/>
      </w:pPr>
      <w:r>
        <w:rPr>
          <w:rStyle w:val="FootnoteReference"/>
        </w:rPr>
        <w:footnoteRef/>
      </w:r>
      <w:r>
        <w:t xml:space="preserve"> Bulgaria, Social Security Code </w:t>
      </w:r>
      <w:r w:rsidRPr="008E576F">
        <w:rPr>
          <w:i/>
        </w:rPr>
        <w:t>(</w:t>
      </w:r>
      <w:r w:rsidRPr="008E576F">
        <w:rPr>
          <w:i/>
          <w:lang w:val="bg-BG"/>
        </w:rPr>
        <w:t>Кодекс за социално осигуряване</w:t>
      </w:r>
      <w:r w:rsidRPr="008E576F">
        <w:rPr>
          <w:i/>
        </w:rPr>
        <w:t>)</w:t>
      </w:r>
      <w:r>
        <w:rPr>
          <w:i/>
          <w:lang w:val="bg-BG"/>
        </w:rPr>
        <w:t xml:space="preserve">, </w:t>
      </w:r>
      <w:r>
        <w:rPr>
          <w:lang w:val="bg-BG"/>
        </w:rPr>
        <w:t xml:space="preserve">1 </w:t>
      </w:r>
      <w:r>
        <w:t xml:space="preserve">January 2000, </w:t>
      </w:r>
      <w:hyperlink r:id="rId15" w:history="1">
        <w:r w:rsidRPr="00165653">
          <w:rPr>
            <w:rStyle w:val="Hyperlink"/>
          </w:rPr>
          <w:t>https://www.lex.bg/laws/ldoc/1597824512</w:t>
        </w:r>
      </w:hyperlink>
      <w:r>
        <w:t xml:space="preserve">, Art. 89a </w:t>
      </w:r>
    </w:p>
  </w:footnote>
  <w:footnote w:id="18">
    <w:p w14:paraId="3D6D797B" w14:textId="77777777" w:rsidR="00CD7B2E" w:rsidRPr="00D7773B" w:rsidRDefault="00CD7B2E" w:rsidP="0077131A">
      <w:pPr>
        <w:pStyle w:val="FootnoteText"/>
      </w:pPr>
      <w:r w:rsidRPr="00D7773B">
        <w:rPr>
          <w:rStyle w:val="FootnoteReference"/>
        </w:rPr>
        <w:footnoteRef/>
      </w:r>
      <w:r w:rsidRPr="00D7773B">
        <w:t xml:space="preserve"> Bulgaria, </w:t>
      </w:r>
      <w:r w:rsidRPr="00D7773B">
        <w:rPr>
          <w:rStyle w:val="tlid-translation"/>
        </w:rPr>
        <w:t xml:space="preserve">National strategy for </w:t>
      </w:r>
      <w:r w:rsidRPr="00D7773B">
        <w:rPr>
          <w:rStyle w:val="tlid-translation"/>
          <w:lang w:val="bg-BG"/>
        </w:rPr>
        <w:t>Active Ageing in Bulgaria 2019-2030</w:t>
      </w:r>
      <w:r w:rsidRPr="00D7773B">
        <w:rPr>
          <w:rStyle w:val="tlid-translation"/>
        </w:rPr>
        <w:t xml:space="preserve"> (</w:t>
      </w:r>
      <w:r w:rsidRPr="00D7773B">
        <w:rPr>
          <w:rStyle w:val="tlid-translation"/>
          <w:i/>
          <w:lang w:val="bg-BG"/>
        </w:rPr>
        <w:t>Национална стратегия за активен живот на възрастните хора в България 2019-2030</w:t>
      </w:r>
      <w:r w:rsidRPr="00D7773B">
        <w:rPr>
          <w:rStyle w:val="tlid-translation"/>
        </w:rPr>
        <w:t xml:space="preserve">), 2019, </w:t>
      </w:r>
      <w:hyperlink r:id="rId16" w:history="1">
        <w:r w:rsidRPr="00D7773B">
          <w:rPr>
            <w:rStyle w:val="Hyperlink"/>
          </w:rPr>
          <w:t>https://www.mlsp.government.bg/ckfinder/userfiles/files/politiki/demografska%20politika/nacionalni%20strategicheski%20dokumenti/National_agieng_strategy_2019-2030.pdf</w:t>
        </w:r>
      </w:hyperlink>
    </w:p>
  </w:footnote>
  <w:footnote w:id="19">
    <w:p w14:paraId="0F049901" w14:textId="09C2BBEA" w:rsidR="00CD7B2E" w:rsidRPr="00D7773B" w:rsidRDefault="00CD7B2E" w:rsidP="0077131A">
      <w:pPr>
        <w:pStyle w:val="FootnoteText"/>
      </w:pPr>
      <w:r w:rsidRPr="00D7773B">
        <w:rPr>
          <w:rStyle w:val="FootnoteReference"/>
        </w:rPr>
        <w:footnoteRef/>
      </w:r>
      <w:r w:rsidRPr="00D7773B">
        <w:t xml:space="preserve"> Bulgaria, Social and Shared Economy Establishments Act </w:t>
      </w:r>
      <w:r w:rsidRPr="00D7773B">
        <w:rPr>
          <w:i/>
        </w:rPr>
        <w:t>(</w:t>
      </w:r>
      <w:r w:rsidRPr="00D7773B">
        <w:rPr>
          <w:i/>
          <w:lang w:val="bg-BG"/>
        </w:rPr>
        <w:t>Закон за предприятията на социалната и солидарна икономика</w:t>
      </w:r>
      <w:r w:rsidRPr="00D7773B">
        <w:rPr>
          <w:i/>
        </w:rPr>
        <w:t>)</w:t>
      </w:r>
      <w:r w:rsidRPr="00D7773B">
        <w:t xml:space="preserve">, 2 May 2019, </w:t>
      </w:r>
      <w:hyperlink r:id="rId17" w:history="1">
        <w:r w:rsidRPr="00D7773B">
          <w:rPr>
            <w:rStyle w:val="Hyperlink"/>
          </w:rPr>
          <w:t>https://www.lex.bg/bg/laws/ldoc/2137187968</w:t>
        </w:r>
      </w:hyperlink>
      <w:r w:rsidRPr="00D7773B">
        <w:t xml:space="preserve">, par. 1, item 1 of additional provisions </w:t>
      </w:r>
    </w:p>
  </w:footnote>
  <w:footnote w:id="20">
    <w:p w14:paraId="5F05EC48" w14:textId="22CA8B3B" w:rsidR="00CD7B2E" w:rsidRPr="00D7773B" w:rsidRDefault="00CD7B2E" w:rsidP="0077131A">
      <w:pPr>
        <w:pStyle w:val="FootnoteText"/>
      </w:pPr>
      <w:r w:rsidRPr="00D7773B">
        <w:rPr>
          <w:rStyle w:val="FootnoteReference"/>
        </w:rPr>
        <w:footnoteRef/>
      </w:r>
      <w:r w:rsidRPr="00D7773B">
        <w:t xml:space="preserve"> Bulgaria, Regulation N 4 of 16 March 1999 on the conditions and order for rendering social services </w:t>
      </w:r>
      <w:r w:rsidRPr="00D7773B">
        <w:rPr>
          <w:i/>
        </w:rPr>
        <w:t>(Н</w:t>
      </w:r>
      <w:r w:rsidRPr="00D7773B">
        <w:rPr>
          <w:i/>
          <w:lang w:val="bg-BG"/>
        </w:rPr>
        <w:t>аредба</w:t>
      </w:r>
      <w:r w:rsidRPr="00D7773B">
        <w:rPr>
          <w:i/>
        </w:rPr>
        <w:t xml:space="preserve"> № 4</w:t>
      </w:r>
      <w:r w:rsidRPr="00D7773B">
        <w:rPr>
          <w:i/>
          <w:lang w:val="bg-BG"/>
        </w:rPr>
        <w:t xml:space="preserve"> от 16 март 1999 г. за условията и реда за извършване на социални услуги</w:t>
      </w:r>
      <w:r w:rsidRPr="00D7773B">
        <w:rPr>
          <w:i/>
        </w:rPr>
        <w:t>)</w:t>
      </w:r>
      <w:r w:rsidRPr="00D7773B">
        <w:rPr>
          <w:i/>
          <w:lang w:val="bg-BG"/>
        </w:rPr>
        <w:t xml:space="preserve">, </w:t>
      </w:r>
      <w:r w:rsidRPr="00D7773B">
        <w:rPr>
          <w:lang w:val="bg-BG"/>
        </w:rPr>
        <w:t xml:space="preserve">30 </w:t>
      </w:r>
      <w:r w:rsidRPr="00D7773B">
        <w:t xml:space="preserve">March 1999, </w:t>
      </w:r>
      <w:hyperlink r:id="rId18" w:history="1">
        <w:r w:rsidRPr="00D7773B">
          <w:rPr>
            <w:rStyle w:val="Hyperlink"/>
          </w:rPr>
          <w:t>https://www.lex.bg/laws/ldoc/-549700608</w:t>
        </w:r>
      </w:hyperlink>
      <w:r w:rsidRPr="00D7773B">
        <w:t xml:space="preserve"> </w:t>
      </w:r>
    </w:p>
  </w:footnote>
  <w:footnote w:id="21">
    <w:p w14:paraId="5D342FC7" w14:textId="78673AA0" w:rsidR="00CD7B2E" w:rsidRPr="00D7773B" w:rsidRDefault="00CD7B2E" w:rsidP="0077131A">
      <w:pPr>
        <w:pStyle w:val="FootnoteText"/>
        <w:rPr>
          <w:lang w:val="bg-BG"/>
        </w:rPr>
      </w:pPr>
      <w:r w:rsidRPr="00D7773B">
        <w:rPr>
          <w:rStyle w:val="FootnoteReference"/>
        </w:rPr>
        <w:footnoteRef/>
      </w:r>
      <w:r w:rsidRPr="00D7773B">
        <w:t xml:space="preserve"> Bulgaria, Social Services Act</w:t>
      </w:r>
      <w:r w:rsidRPr="00D7773B">
        <w:rPr>
          <w:lang w:val="bg-BG"/>
        </w:rPr>
        <w:t xml:space="preserve"> (</w:t>
      </w:r>
      <w:r w:rsidRPr="00D7773B">
        <w:rPr>
          <w:i/>
        </w:rPr>
        <w:t>Закон за социалните услуги</w:t>
      </w:r>
      <w:r w:rsidRPr="00D7773B">
        <w:rPr>
          <w:lang w:val="bg-BG"/>
        </w:rPr>
        <w:t>),</w:t>
      </w:r>
      <w:r w:rsidRPr="00D7773B">
        <w:t xml:space="preserve"> 1 January 2020</w:t>
      </w:r>
      <w:r>
        <w:rPr>
          <w:lang w:val="bg-BG"/>
        </w:rPr>
        <w:t>,</w:t>
      </w:r>
      <w:r w:rsidRPr="00D7773B">
        <w:t xml:space="preserve"> </w:t>
      </w:r>
      <w:hyperlink r:id="rId19" w:history="1">
        <w:r w:rsidRPr="00D7773B">
          <w:rPr>
            <w:rStyle w:val="Hyperlink"/>
          </w:rPr>
          <w:t>https://www.lex.bg/bg/laws/ldoc/2137191914</w:t>
        </w:r>
      </w:hyperlink>
      <w:r>
        <w:rPr>
          <w:lang w:val="bg-BG"/>
        </w:rPr>
        <w:t xml:space="preserve">, </w:t>
      </w:r>
      <w:r w:rsidRPr="00D7773B">
        <w:t xml:space="preserve">para.1, item </w:t>
      </w:r>
      <w:r>
        <w:t>31</w:t>
      </w:r>
      <w:r w:rsidRPr="00D7773B">
        <w:t xml:space="preserve"> of </w:t>
      </w:r>
      <w:r>
        <w:t>additional</w:t>
      </w:r>
      <w:r w:rsidRPr="00D7773B">
        <w:t xml:space="preserve"> provisions</w:t>
      </w:r>
    </w:p>
  </w:footnote>
  <w:footnote w:id="22">
    <w:p w14:paraId="52058DFE" w14:textId="77777777" w:rsidR="00CD7B2E" w:rsidRPr="008E576F" w:rsidRDefault="00CD7B2E" w:rsidP="0077131A">
      <w:pPr>
        <w:rPr>
          <w:lang w:val="bg-BG"/>
        </w:rPr>
      </w:pPr>
      <w:r w:rsidRPr="00D7773B">
        <w:rPr>
          <w:rStyle w:val="FootnoteReference"/>
          <w:sz w:val="20"/>
          <w:szCs w:val="20"/>
        </w:rPr>
        <w:footnoteRef/>
      </w:r>
      <w:r w:rsidRPr="008E576F">
        <w:rPr>
          <w:sz w:val="20"/>
          <w:szCs w:val="20"/>
          <w:lang w:val="bg-BG"/>
        </w:rPr>
        <w:t xml:space="preserve"> </w:t>
      </w:r>
      <w:r w:rsidRPr="00D7773B">
        <w:rPr>
          <w:sz w:val="20"/>
          <w:szCs w:val="20"/>
        </w:rPr>
        <w:t>Bulgaria</w:t>
      </w:r>
      <w:r w:rsidRPr="008E576F">
        <w:rPr>
          <w:sz w:val="20"/>
          <w:szCs w:val="20"/>
          <w:lang w:val="bg-BG"/>
        </w:rPr>
        <w:t xml:space="preserve">, </w:t>
      </w:r>
      <w:r w:rsidRPr="00D7773B">
        <w:rPr>
          <w:sz w:val="20"/>
          <w:szCs w:val="20"/>
        </w:rPr>
        <w:t>Ministry</w:t>
      </w:r>
      <w:r w:rsidRPr="008E576F">
        <w:rPr>
          <w:sz w:val="20"/>
          <w:szCs w:val="20"/>
          <w:lang w:val="bg-BG"/>
        </w:rPr>
        <w:t xml:space="preserve"> </w:t>
      </w:r>
      <w:r w:rsidRPr="00D7773B">
        <w:rPr>
          <w:sz w:val="20"/>
          <w:szCs w:val="20"/>
        </w:rPr>
        <w:t>of</w:t>
      </w:r>
      <w:r w:rsidRPr="008E576F">
        <w:rPr>
          <w:sz w:val="20"/>
          <w:szCs w:val="20"/>
          <w:lang w:val="bg-BG"/>
        </w:rPr>
        <w:t xml:space="preserve"> </w:t>
      </w:r>
      <w:r w:rsidRPr="00D7773B">
        <w:rPr>
          <w:sz w:val="20"/>
          <w:szCs w:val="20"/>
        </w:rPr>
        <w:t>Regional</w:t>
      </w:r>
      <w:r w:rsidRPr="008E576F">
        <w:rPr>
          <w:sz w:val="20"/>
          <w:szCs w:val="20"/>
          <w:lang w:val="bg-BG"/>
        </w:rPr>
        <w:t xml:space="preserve"> </w:t>
      </w:r>
      <w:r w:rsidRPr="00D7773B">
        <w:rPr>
          <w:sz w:val="20"/>
          <w:szCs w:val="20"/>
        </w:rPr>
        <w:t>development</w:t>
      </w:r>
      <w:r w:rsidRPr="008E576F">
        <w:rPr>
          <w:sz w:val="20"/>
          <w:szCs w:val="20"/>
          <w:lang w:val="bg-BG"/>
        </w:rPr>
        <w:t xml:space="preserve"> </w:t>
      </w:r>
      <w:r w:rsidRPr="00D7773B">
        <w:rPr>
          <w:sz w:val="20"/>
          <w:szCs w:val="20"/>
        </w:rPr>
        <w:t>and</w:t>
      </w:r>
      <w:r w:rsidRPr="008E576F">
        <w:rPr>
          <w:sz w:val="20"/>
          <w:szCs w:val="20"/>
          <w:lang w:val="bg-BG"/>
        </w:rPr>
        <w:t xml:space="preserve"> </w:t>
      </w:r>
      <w:r w:rsidRPr="00D7773B">
        <w:rPr>
          <w:sz w:val="20"/>
          <w:szCs w:val="20"/>
        </w:rPr>
        <w:t>Public</w:t>
      </w:r>
      <w:r w:rsidRPr="008E576F">
        <w:rPr>
          <w:sz w:val="20"/>
          <w:szCs w:val="20"/>
          <w:lang w:val="bg-BG"/>
        </w:rPr>
        <w:t xml:space="preserve"> </w:t>
      </w:r>
      <w:r w:rsidRPr="00D7773B">
        <w:rPr>
          <w:sz w:val="20"/>
          <w:szCs w:val="20"/>
        </w:rPr>
        <w:t>works</w:t>
      </w:r>
      <w:r w:rsidRPr="008E576F">
        <w:rPr>
          <w:sz w:val="20"/>
          <w:szCs w:val="20"/>
          <w:lang w:val="bg-BG"/>
        </w:rPr>
        <w:t xml:space="preserve"> </w:t>
      </w:r>
      <w:r w:rsidRPr="008E576F">
        <w:rPr>
          <w:i/>
          <w:iCs/>
          <w:sz w:val="20"/>
          <w:szCs w:val="20"/>
          <w:lang w:val="bg-BG"/>
        </w:rPr>
        <w:t>(</w:t>
      </w:r>
      <w:r w:rsidRPr="004E4FA5">
        <w:rPr>
          <w:i/>
          <w:iCs/>
          <w:sz w:val="20"/>
          <w:szCs w:val="20"/>
          <w:lang w:val="bg-BG"/>
        </w:rPr>
        <w:t>Министерство на регионалното развитие и благоустройството</w:t>
      </w:r>
      <w:r w:rsidRPr="008E576F">
        <w:rPr>
          <w:i/>
          <w:iCs/>
          <w:sz w:val="20"/>
          <w:szCs w:val="20"/>
          <w:lang w:val="bg-BG"/>
        </w:rPr>
        <w:t>)</w:t>
      </w:r>
      <w:r w:rsidRPr="008E576F">
        <w:rPr>
          <w:sz w:val="20"/>
          <w:szCs w:val="20"/>
          <w:lang w:val="bg-BG"/>
        </w:rPr>
        <w:t xml:space="preserve">, </w:t>
      </w:r>
      <w:r w:rsidRPr="00D7773B">
        <w:rPr>
          <w:sz w:val="20"/>
          <w:szCs w:val="20"/>
        </w:rPr>
        <w:t>Operational</w:t>
      </w:r>
      <w:r w:rsidRPr="008E576F">
        <w:rPr>
          <w:sz w:val="20"/>
          <w:szCs w:val="20"/>
          <w:lang w:val="bg-BG"/>
        </w:rPr>
        <w:t xml:space="preserve"> </w:t>
      </w:r>
      <w:r w:rsidRPr="00D7773B">
        <w:rPr>
          <w:sz w:val="20"/>
          <w:szCs w:val="20"/>
        </w:rPr>
        <w:t>Programme</w:t>
      </w:r>
      <w:r w:rsidRPr="008E576F">
        <w:rPr>
          <w:sz w:val="20"/>
          <w:szCs w:val="20"/>
          <w:lang w:val="bg-BG"/>
        </w:rPr>
        <w:t xml:space="preserve"> "</w:t>
      </w:r>
      <w:r w:rsidRPr="00D7773B">
        <w:rPr>
          <w:sz w:val="20"/>
          <w:szCs w:val="20"/>
        </w:rPr>
        <w:t>Regions</w:t>
      </w:r>
      <w:r w:rsidRPr="008E576F">
        <w:rPr>
          <w:sz w:val="20"/>
          <w:szCs w:val="20"/>
          <w:lang w:val="bg-BG"/>
        </w:rPr>
        <w:t xml:space="preserve"> </w:t>
      </w:r>
      <w:r w:rsidRPr="00D7773B">
        <w:rPr>
          <w:sz w:val="20"/>
          <w:szCs w:val="20"/>
        </w:rPr>
        <w:t>in</w:t>
      </w:r>
      <w:r w:rsidRPr="008E576F">
        <w:rPr>
          <w:sz w:val="20"/>
          <w:szCs w:val="20"/>
          <w:lang w:val="bg-BG"/>
        </w:rPr>
        <w:t xml:space="preserve"> </w:t>
      </w:r>
      <w:r w:rsidRPr="00D7773B">
        <w:rPr>
          <w:sz w:val="20"/>
          <w:szCs w:val="20"/>
        </w:rPr>
        <w:t>growth</w:t>
      </w:r>
      <w:r w:rsidRPr="008E576F">
        <w:rPr>
          <w:sz w:val="20"/>
          <w:szCs w:val="20"/>
          <w:lang w:val="bg-BG"/>
        </w:rPr>
        <w:t>" 2014-2020 (</w:t>
      </w:r>
      <w:r w:rsidRPr="008E576F">
        <w:rPr>
          <w:i/>
          <w:sz w:val="20"/>
          <w:szCs w:val="20"/>
          <w:lang w:val="bg-BG"/>
        </w:rPr>
        <w:t>Оперативна Програма "Региони в Растеж" 2014-2020)</w:t>
      </w:r>
      <w:r w:rsidRPr="008E576F">
        <w:rPr>
          <w:sz w:val="20"/>
          <w:szCs w:val="20"/>
          <w:lang w:val="bg-BG"/>
        </w:rPr>
        <w:t xml:space="preserve">, </w:t>
      </w:r>
      <w:hyperlink r:id="rId20" w:history="1">
        <w:r w:rsidRPr="00D7773B">
          <w:rPr>
            <w:rStyle w:val="Hyperlink"/>
            <w:sz w:val="20"/>
            <w:szCs w:val="20"/>
          </w:rPr>
          <w:t>http</w:t>
        </w:r>
        <w:r w:rsidRPr="008E576F">
          <w:rPr>
            <w:rStyle w:val="Hyperlink"/>
            <w:sz w:val="20"/>
            <w:szCs w:val="20"/>
            <w:lang w:val="bg-BG"/>
          </w:rPr>
          <w:t>://</w:t>
        </w:r>
        <w:r w:rsidRPr="00D7773B">
          <w:rPr>
            <w:rStyle w:val="Hyperlink"/>
            <w:sz w:val="20"/>
            <w:szCs w:val="20"/>
          </w:rPr>
          <w:t>bgregio</w:t>
        </w:r>
        <w:r w:rsidRPr="008E576F">
          <w:rPr>
            <w:rStyle w:val="Hyperlink"/>
            <w:sz w:val="20"/>
            <w:szCs w:val="20"/>
            <w:lang w:val="bg-BG"/>
          </w:rPr>
          <w:t>.</w:t>
        </w:r>
        <w:r w:rsidRPr="00D7773B">
          <w:rPr>
            <w:rStyle w:val="Hyperlink"/>
            <w:sz w:val="20"/>
            <w:szCs w:val="20"/>
          </w:rPr>
          <w:t>eu</w:t>
        </w:r>
        <w:r w:rsidRPr="008E576F">
          <w:rPr>
            <w:rStyle w:val="Hyperlink"/>
            <w:sz w:val="20"/>
            <w:szCs w:val="20"/>
            <w:lang w:val="bg-BG"/>
          </w:rPr>
          <w:t>/</w:t>
        </w:r>
        <w:r w:rsidRPr="00D7773B">
          <w:rPr>
            <w:rStyle w:val="Hyperlink"/>
            <w:sz w:val="20"/>
            <w:szCs w:val="20"/>
          </w:rPr>
          <w:t>media</w:t>
        </w:r>
        <w:r w:rsidRPr="008E576F">
          <w:rPr>
            <w:rStyle w:val="Hyperlink"/>
            <w:sz w:val="20"/>
            <w:szCs w:val="20"/>
            <w:lang w:val="bg-BG"/>
          </w:rPr>
          <w:t>/</w:t>
        </w:r>
        <w:r w:rsidRPr="00D7773B">
          <w:rPr>
            <w:rStyle w:val="Hyperlink"/>
            <w:sz w:val="20"/>
            <w:szCs w:val="20"/>
          </w:rPr>
          <w:t>files</w:t>
        </w:r>
        <w:r w:rsidRPr="008E576F">
          <w:rPr>
            <w:rStyle w:val="Hyperlink"/>
            <w:sz w:val="20"/>
            <w:szCs w:val="20"/>
            <w:lang w:val="bg-BG"/>
          </w:rPr>
          <w:t>/</w:t>
        </w:r>
        <w:r w:rsidRPr="00D7773B">
          <w:rPr>
            <w:rStyle w:val="Hyperlink"/>
            <w:sz w:val="20"/>
            <w:szCs w:val="20"/>
          </w:rPr>
          <w:t>Kandidatstvane</w:t>
        </w:r>
        <w:r w:rsidRPr="008E576F">
          <w:rPr>
            <w:rStyle w:val="Hyperlink"/>
            <w:sz w:val="20"/>
            <w:szCs w:val="20"/>
            <w:lang w:val="bg-BG"/>
          </w:rPr>
          <w:t>/</w:t>
        </w:r>
        <w:r w:rsidRPr="00D7773B">
          <w:rPr>
            <w:rStyle w:val="Hyperlink"/>
            <w:sz w:val="20"/>
            <w:szCs w:val="20"/>
          </w:rPr>
          <w:t>Aktualni</w:t>
        </w:r>
        <w:r w:rsidRPr="008E576F">
          <w:rPr>
            <w:rStyle w:val="Hyperlink"/>
            <w:sz w:val="20"/>
            <w:szCs w:val="20"/>
            <w:lang w:val="bg-BG"/>
          </w:rPr>
          <w:t>%20</w:t>
        </w:r>
        <w:r w:rsidRPr="00D7773B">
          <w:rPr>
            <w:rStyle w:val="Hyperlink"/>
            <w:sz w:val="20"/>
            <w:szCs w:val="20"/>
          </w:rPr>
          <w:t>sxemi</w:t>
        </w:r>
        <w:r w:rsidRPr="008E576F">
          <w:rPr>
            <w:rStyle w:val="Hyperlink"/>
            <w:sz w:val="20"/>
            <w:szCs w:val="20"/>
            <w:lang w:val="bg-BG"/>
          </w:rPr>
          <w:t>/2014-2020/%</w:t>
        </w:r>
        <w:r w:rsidRPr="00D7773B">
          <w:rPr>
            <w:rStyle w:val="Hyperlink"/>
            <w:sz w:val="20"/>
            <w:szCs w:val="20"/>
          </w:rPr>
          <w:t>D</w:t>
        </w:r>
        <w:r w:rsidRPr="008E576F">
          <w:rPr>
            <w:rStyle w:val="Hyperlink"/>
            <w:sz w:val="20"/>
            <w:szCs w:val="20"/>
            <w:lang w:val="bg-BG"/>
          </w:rPr>
          <w:t>0%</w:t>
        </w:r>
        <w:r w:rsidRPr="00D7773B">
          <w:rPr>
            <w:rStyle w:val="Hyperlink"/>
            <w:sz w:val="20"/>
            <w:szCs w:val="20"/>
          </w:rPr>
          <w:t>BE</w:t>
        </w:r>
        <w:r w:rsidRPr="008E576F">
          <w:rPr>
            <w:rStyle w:val="Hyperlink"/>
            <w:sz w:val="20"/>
            <w:szCs w:val="20"/>
            <w:lang w:val="bg-BG"/>
          </w:rPr>
          <w:t>%</w:t>
        </w:r>
        <w:r w:rsidRPr="00D7773B">
          <w:rPr>
            <w:rStyle w:val="Hyperlink"/>
            <w:sz w:val="20"/>
            <w:szCs w:val="20"/>
          </w:rPr>
          <w:t>D</w:t>
        </w:r>
        <w:r w:rsidRPr="008E576F">
          <w:rPr>
            <w:rStyle w:val="Hyperlink"/>
            <w:sz w:val="20"/>
            <w:szCs w:val="20"/>
            <w:lang w:val="bg-BG"/>
          </w:rPr>
          <w:t>1%81%201/160418%20</w:t>
        </w:r>
        <w:r w:rsidRPr="00D7773B">
          <w:rPr>
            <w:rStyle w:val="Hyperlink"/>
            <w:sz w:val="20"/>
            <w:szCs w:val="20"/>
          </w:rPr>
          <w:t>Nasoki</w:t>
        </w:r>
        <w:r w:rsidRPr="008E576F">
          <w:rPr>
            <w:rStyle w:val="Hyperlink"/>
            <w:sz w:val="20"/>
            <w:szCs w:val="20"/>
            <w:lang w:val="bg-BG"/>
          </w:rPr>
          <w:t>%20</w:t>
        </w:r>
        <w:r w:rsidRPr="00D7773B">
          <w:rPr>
            <w:rStyle w:val="Hyperlink"/>
            <w:sz w:val="20"/>
            <w:szCs w:val="20"/>
          </w:rPr>
          <w:t>os</w:t>
        </w:r>
        <w:r w:rsidRPr="008E576F">
          <w:rPr>
            <w:rStyle w:val="Hyperlink"/>
            <w:sz w:val="20"/>
            <w:szCs w:val="20"/>
            <w:lang w:val="bg-BG"/>
          </w:rPr>
          <w:t>%201%20</w:t>
        </w:r>
        <w:r w:rsidRPr="00D7773B">
          <w:rPr>
            <w:rStyle w:val="Hyperlink"/>
            <w:sz w:val="20"/>
            <w:szCs w:val="20"/>
          </w:rPr>
          <w:t>rev</w:t>
        </w:r>
        <w:r w:rsidRPr="008E576F">
          <w:rPr>
            <w:rStyle w:val="Hyperlink"/>
            <w:sz w:val="20"/>
            <w:szCs w:val="20"/>
            <w:lang w:val="bg-BG"/>
          </w:rPr>
          <w:t>%202_</w:t>
        </w:r>
        <w:r w:rsidRPr="00D7773B">
          <w:rPr>
            <w:rStyle w:val="Hyperlink"/>
            <w:sz w:val="20"/>
            <w:szCs w:val="20"/>
          </w:rPr>
          <w:t>FINAL</w:t>
        </w:r>
        <w:r w:rsidRPr="008E576F">
          <w:rPr>
            <w:rStyle w:val="Hyperlink"/>
            <w:sz w:val="20"/>
            <w:szCs w:val="20"/>
            <w:lang w:val="bg-BG"/>
          </w:rPr>
          <w:t>.</w:t>
        </w:r>
        <w:r w:rsidRPr="00D7773B">
          <w:rPr>
            <w:rStyle w:val="Hyperlink"/>
            <w:sz w:val="20"/>
            <w:szCs w:val="20"/>
          </w:rPr>
          <w:t>pdf</w:t>
        </w:r>
      </w:hyperlink>
    </w:p>
  </w:footnote>
  <w:footnote w:id="23">
    <w:p w14:paraId="5352EEB7" w14:textId="23BB7AF9" w:rsidR="00CD7B2E" w:rsidRPr="00D7773B" w:rsidRDefault="00CD7B2E" w:rsidP="0077131A">
      <w:pPr>
        <w:pStyle w:val="FootnoteText"/>
      </w:pPr>
      <w:r w:rsidRPr="00D7773B">
        <w:rPr>
          <w:rStyle w:val="FootnoteReference"/>
        </w:rPr>
        <w:footnoteRef/>
      </w:r>
      <w:r w:rsidRPr="00D7773B">
        <w:t xml:space="preserve"> Bulgaria, Constitution of the Republic of Bulgaria (</w:t>
      </w:r>
      <w:r w:rsidRPr="00D7773B">
        <w:rPr>
          <w:i/>
          <w:lang w:val="bg-BG"/>
        </w:rPr>
        <w:t>Конституция на Република България</w:t>
      </w:r>
      <w:r w:rsidRPr="00D7773B">
        <w:t xml:space="preserve">), </w:t>
      </w:r>
      <w:r w:rsidRPr="00D7773B">
        <w:rPr>
          <w:lang w:val="bg-BG"/>
        </w:rPr>
        <w:t>13</w:t>
      </w:r>
      <w:r w:rsidRPr="00D7773B">
        <w:t xml:space="preserve"> July </w:t>
      </w:r>
      <w:r w:rsidRPr="00D7773B">
        <w:rPr>
          <w:lang w:val="bg-BG"/>
        </w:rPr>
        <w:t>1991</w:t>
      </w:r>
      <w:r w:rsidRPr="00D7773B">
        <w:t xml:space="preserve">, </w:t>
      </w:r>
      <w:hyperlink r:id="rId21" w:history="1">
        <w:r w:rsidRPr="00D7773B">
          <w:rPr>
            <w:rStyle w:val="Hyperlink"/>
          </w:rPr>
          <w:t>https://www.lex.bg/laws/ldoc/521957377</w:t>
        </w:r>
      </w:hyperlink>
      <w:r w:rsidRPr="00D7773B">
        <w:rPr>
          <w:rStyle w:val="Hyperlink"/>
          <w:color w:val="000000" w:themeColor="text1"/>
          <w:u w:val="none"/>
        </w:rPr>
        <w:t>, Art. 26, Art. 27</w:t>
      </w:r>
    </w:p>
  </w:footnote>
  <w:footnote w:id="24">
    <w:p w14:paraId="3FDDE5D1" w14:textId="24126004" w:rsidR="00CD7B2E" w:rsidRPr="00D7773B" w:rsidRDefault="00CD7B2E" w:rsidP="0077131A">
      <w:pPr>
        <w:pStyle w:val="FootnoteText"/>
      </w:pPr>
      <w:r w:rsidRPr="00D7773B">
        <w:rPr>
          <w:rStyle w:val="FootnoteReference"/>
        </w:rPr>
        <w:footnoteRef/>
      </w:r>
      <w:r w:rsidRPr="00D7773B">
        <w:t xml:space="preserve"> Bulgaria, Asylum and Refugees Act (</w:t>
      </w:r>
      <w:r w:rsidRPr="00D7773B">
        <w:rPr>
          <w:i/>
          <w:lang w:val="bg-BG"/>
        </w:rPr>
        <w:t>Закон за убежището и бежанците</w:t>
      </w:r>
      <w:r w:rsidRPr="00D7773B">
        <w:t xml:space="preserve">), </w:t>
      </w:r>
      <w:r w:rsidRPr="00D7773B">
        <w:rPr>
          <w:lang w:val="bg-BG"/>
        </w:rPr>
        <w:t xml:space="preserve">1 </w:t>
      </w:r>
      <w:r w:rsidRPr="00D7773B">
        <w:t xml:space="preserve">December 2002, </w:t>
      </w:r>
      <w:hyperlink r:id="rId22" w:history="1">
        <w:r w:rsidRPr="00D7773B">
          <w:rPr>
            <w:rStyle w:val="Hyperlink"/>
          </w:rPr>
          <w:t>https://lex.bg/laws/ldoc/2135453184</w:t>
        </w:r>
      </w:hyperlink>
      <w:r w:rsidRPr="00D7773B">
        <w:rPr>
          <w:rStyle w:val="Hyperlink"/>
          <w:color w:val="auto"/>
          <w:u w:val="none"/>
        </w:rPr>
        <w:t xml:space="preserve">, Additional provisions, para. 1, item 1 The Act refers expressly to the 1951 Refugee Convention and its 1967 Protocol and the overall EU framework on international protection. </w:t>
      </w:r>
      <w:r w:rsidRPr="00D7773B">
        <w:rPr>
          <w:rStyle w:val="Hyperlink"/>
        </w:rPr>
        <w:t xml:space="preserve"> </w:t>
      </w:r>
    </w:p>
  </w:footnote>
  <w:footnote w:id="25">
    <w:p w14:paraId="16316459" w14:textId="4BA9A65A" w:rsidR="00CD7B2E" w:rsidRPr="00D7773B" w:rsidRDefault="00CD7B2E" w:rsidP="0077131A">
      <w:pPr>
        <w:pStyle w:val="FootnoteText"/>
        <w:rPr>
          <w:lang w:val="bg-BG"/>
        </w:rPr>
      </w:pPr>
      <w:r w:rsidRPr="00D7773B">
        <w:rPr>
          <w:rStyle w:val="FootnoteReference"/>
        </w:rPr>
        <w:footnoteRef/>
      </w:r>
      <w:r w:rsidRPr="00D7773B">
        <w:t xml:space="preserve"> Bulgaria, Foreigners in the Republic of Bulgaria Act (</w:t>
      </w:r>
      <w:r w:rsidRPr="00D7773B">
        <w:rPr>
          <w:i/>
          <w:lang w:val="bg-BG"/>
        </w:rPr>
        <w:t>Закон за чужденците в Република България</w:t>
      </w:r>
      <w:r w:rsidRPr="00D7773B">
        <w:t xml:space="preserve">), </w:t>
      </w:r>
      <w:r w:rsidRPr="00D7773B">
        <w:rPr>
          <w:lang w:val="bg-BG"/>
        </w:rPr>
        <w:t xml:space="preserve">23 </w:t>
      </w:r>
      <w:r w:rsidRPr="00D7773B">
        <w:t xml:space="preserve">December 1998, </w:t>
      </w:r>
      <w:hyperlink r:id="rId23" w:history="1">
        <w:r w:rsidRPr="00D7773B">
          <w:rPr>
            <w:rStyle w:val="Hyperlink"/>
          </w:rPr>
          <w:t>https://lex.bg/laws/ldoc/2134455296</w:t>
        </w:r>
      </w:hyperlink>
      <w:r w:rsidRPr="00D7773B">
        <w:rPr>
          <w:rStyle w:val="Hyperlink"/>
        </w:rPr>
        <w:t xml:space="preserve">, </w:t>
      </w:r>
      <w:r w:rsidRPr="00D7773B">
        <w:rPr>
          <w:rStyle w:val="Hyperlink"/>
          <w:color w:val="auto"/>
          <w:u w:val="none"/>
        </w:rPr>
        <w:t>Art. 2, para. 1, Art. 1, para. 3</w:t>
      </w:r>
      <w:r>
        <w:rPr>
          <w:rStyle w:val="Hyperlink"/>
          <w:color w:val="auto"/>
          <w:u w:val="none"/>
          <w:lang w:val="bg-BG"/>
        </w:rPr>
        <w:t xml:space="preserve">. </w:t>
      </w:r>
      <w:r w:rsidRPr="00D7773B">
        <w:rPr>
          <w:rStyle w:val="Hyperlink"/>
          <w:color w:val="auto"/>
          <w:u w:val="none"/>
        </w:rPr>
        <w:t xml:space="preserve">The Act transposes the overall EU framework on the conditions of residence of foreigners in the Union. </w:t>
      </w:r>
    </w:p>
  </w:footnote>
  <w:footnote w:id="26">
    <w:p w14:paraId="5A039864" w14:textId="507C4B21" w:rsidR="00CD7B2E" w:rsidRPr="00D7773B" w:rsidRDefault="00CD7B2E" w:rsidP="0077131A">
      <w:pPr>
        <w:pStyle w:val="FootnoteText"/>
      </w:pPr>
      <w:r w:rsidRPr="00D7773B">
        <w:rPr>
          <w:rStyle w:val="FootnoteReference"/>
        </w:rPr>
        <w:footnoteRef/>
      </w:r>
      <w:r w:rsidRPr="00D7773B">
        <w:t xml:space="preserve"> Bulgaria, Bulgarians living outside of the Republic of Bulgaria Act </w:t>
      </w:r>
      <w:r w:rsidRPr="00D7773B">
        <w:rPr>
          <w:i/>
        </w:rPr>
        <w:t>(</w:t>
      </w:r>
      <w:r w:rsidRPr="00D7773B">
        <w:rPr>
          <w:i/>
          <w:lang w:val="bg-BG"/>
        </w:rPr>
        <w:t>Закон за българите, живеещи извън Република България</w:t>
      </w:r>
      <w:r w:rsidRPr="00D7773B">
        <w:rPr>
          <w:i/>
        </w:rPr>
        <w:t>)</w:t>
      </w:r>
      <w:r w:rsidRPr="00D7773B">
        <w:t xml:space="preserve">, 11 April 2000, </w:t>
      </w:r>
      <w:hyperlink r:id="rId24" w:history="1">
        <w:r w:rsidRPr="00D7773B">
          <w:rPr>
            <w:rStyle w:val="Hyperlink"/>
          </w:rPr>
          <w:t>https://www.lex.bg/laws/ldoc/2134916612</w:t>
        </w:r>
      </w:hyperlink>
      <w:r w:rsidRPr="00D7773B">
        <w:t xml:space="preserve">, Art. 2 </w:t>
      </w:r>
    </w:p>
  </w:footnote>
  <w:footnote w:id="27">
    <w:p w14:paraId="78A35446" w14:textId="77777777" w:rsidR="00CD7B2E" w:rsidRPr="00D7773B" w:rsidRDefault="00CD7B2E" w:rsidP="0077131A">
      <w:pPr>
        <w:pStyle w:val="FootnoteText"/>
        <w:rPr>
          <w:lang w:val="bg-BG"/>
        </w:rPr>
      </w:pPr>
      <w:r w:rsidRPr="00D7773B">
        <w:rPr>
          <w:rStyle w:val="FootnoteReference"/>
        </w:rPr>
        <w:footnoteRef/>
      </w:r>
      <w:r w:rsidRPr="00D7773B">
        <w:rPr>
          <w:lang w:val="bg-BG"/>
        </w:rPr>
        <w:t xml:space="preserve"> </w:t>
      </w:r>
      <w:r w:rsidRPr="00D7773B">
        <w:t xml:space="preserve">Bulgaria, Family Code </w:t>
      </w:r>
      <w:r w:rsidRPr="00D7773B">
        <w:rPr>
          <w:i/>
        </w:rPr>
        <w:t>(</w:t>
      </w:r>
      <w:r w:rsidRPr="00D7773B">
        <w:rPr>
          <w:i/>
          <w:lang w:val="bg-BG"/>
        </w:rPr>
        <w:t>Семеен кодекс</w:t>
      </w:r>
      <w:r w:rsidRPr="00D7773B">
        <w:rPr>
          <w:i/>
        </w:rPr>
        <w:t>)</w:t>
      </w:r>
      <w:r w:rsidRPr="00D7773B">
        <w:rPr>
          <w:lang w:val="bg-BG"/>
        </w:rPr>
        <w:t xml:space="preserve">, 1 </w:t>
      </w:r>
      <w:r w:rsidRPr="00D7773B">
        <w:t xml:space="preserve">October 2009, </w:t>
      </w:r>
      <w:hyperlink r:id="rId25" w:history="1">
        <w:r w:rsidRPr="00D7773B">
          <w:rPr>
            <w:rStyle w:val="Hyperlink"/>
          </w:rPr>
          <w:t>https://www.lex.bg/laws/ldoc/2135637484</w:t>
        </w:r>
      </w:hyperlink>
      <w:r w:rsidRPr="00D7773B">
        <w:t>, Art. 74</w:t>
      </w:r>
      <w:r w:rsidRPr="00D7773B">
        <w:rPr>
          <w:lang w:val="bg-BG"/>
        </w:rPr>
        <w:t xml:space="preserve">, 139 </w:t>
      </w:r>
      <w:r w:rsidRPr="00D7773B">
        <w:t xml:space="preserve">and following   </w:t>
      </w:r>
    </w:p>
  </w:footnote>
  <w:footnote w:id="28">
    <w:p w14:paraId="42596669" w14:textId="582C37F4" w:rsidR="00CD7B2E" w:rsidRPr="00D7773B" w:rsidRDefault="00CD7B2E" w:rsidP="0077131A">
      <w:pPr>
        <w:pStyle w:val="FootnoteText"/>
      </w:pPr>
      <w:r w:rsidRPr="00D7773B">
        <w:rPr>
          <w:rStyle w:val="FootnoteReference"/>
        </w:rPr>
        <w:footnoteRef/>
      </w:r>
      <w:r w:rsidRPr="00D7773B">
        <w:t xml:space="preserve"> Bulgaria, Protection against Domestic Violence Act </w:t>
      </w:r>
      <w:r w:rsidRPr="00D7773B">
        <w:rPr>
          <w:i/>
          <w:iCs/>
        </w:rPr>
        <w:t>(</w:t>
      </w:r>
      <w:r w:rsidRPr="00D7773B">
        <w:rPr>
          <w:i/>
          <w:iCs/>
          <w:lang w:val="bg-BG"/>
        </w:rPr>
        <w:t>Закон за</w:t>
      </w:r>
      <w:r w:rsidRPr="00D7773B">
        <w:rPr>
          <w:i/>
          <w:iCs/>
        </w:rPr>
        <w:t xml:space="preserve"> </w:t>
      </w:r>
      <w:r w:rsidRPr="00D7773B">
        <w:rPr>
          <w:i/>
          <w:iCs/>
          <w:lang w:val="bg-BG"/>
        </w:rPr>
        <w:t>защита от домашното насилие</w:t>
      </w:r>
      <w:r w:rsidRPr="00D7773B">
        <w:rPr>
          <w:i/>
          <w:iCs/>
        </w:rPr>
        <w:t>)</w:t>
      </w:r>
      <w:r w:rsidRPr="00D7773B">
        <w:rPr>
          <w:lang w:val="bg-BG"/>
        </w:rPr>
        <w:t xml:space="preserve">, 29 </w:t>
      </w:r>
      <w:r w:rsidRPr="00D7773B">
        <w:t>March 2005,</w:t>
      </w:r>
      <w:r w:rsidRPr="00D7773B">
        <w:rPr>
          <w:lang w:val="bg-BG"/>
        </w:rPr>
        <w:t xml:space="preserve"> </w:t>
      </w:r>
      <w:hyperlink r:id="rId26" w:history="1">
        <w:r w:rsidRPr="00D7773B">
          <w:rPr>
            <w:rStyle w:val="Hyperlink"/>
          </w:rPr>
          <w:t>https://lex.bg/en/laws/ldoc/2135501151</w:t>
        </w:r>
      </w:hyperlink>
      <w:r w:rsidRPr="00D7773B">
        <w:rPr>
          <w:rStyle w:val="Hyperlink"/>
          <w:color w:val="auto"/>
          <w:u w:val="none"/>
          <w:lang w:val="bg-BG"/>
        </w:rPr>
        <w:t xml:space="preserve">, </w:t>
      </w:r>
      <w:r w:rsidRPr="00D7773B">
        <w:rPr>
          <w:rStyle w:val="Hyperlink"/>
          <w:color w:val="auto"/>
          <w:u w:val="none"/>
        </w:rPr>
        <w:t>Art. 2</w:t>
      </w:r>
      <w:r w:rsidRPr="00D7773B">
        <w:rPr>
          <w:rStyle w:val="Hyperlink"/>
          <w:color w:val="auto"/>
          <w:u w:val="none"/>
          <w:lang w:val="bg-BG"/>
        </w:rPr>
        <w:t>-3</w:t>
      </w:r>
      <w:r w:rsidRPr="00D7773B">
        <w:rPr>
          <w:rStyle w:val="Hyperlink"/>
        </w:rPr>
        <w:t xml:space="preserve"> </w:t>
      </w:r>
    </w:p>
  </w:footnote>
  <w:footnote w:id="29">
    <w:p w14:paraId="0519737B" w14:textId="7F8A3911" w:rsidR="00CD7B2E" w:rsidRPr="00D7773B" w:rsidRDefault="00CD7B2E" w:rsidP="0077131A">
      <w:pPr>
        <w:pStyle w:val="FootnoteText"/>
      </w:pPr>
      <w:r w:rsidRPr="00D7773B">
        <w:rPr>
          <w:rStyle w:val="FootnoteReference"/>
        </w:rPr>
        <w:footnoteRef/>
      </w:r>
      <w:r w:rsidRPr="00D7773B">
        <w:t xml:space="preserve"> The latter should be, in principle, also considered as a child at risk, see sections on children at risk. </w:t>
      </w:r>
    </w:p>
  </w:footnote>
  <w:footnote w:id="30">
    <w:p w14:paraId="056B4DDF" w14:textId="77777777" w:rsidR="00CD7B2E" w:rsidRPr="00D7773B" w:rsidRDefault="00CD7B2E" w:rsidP="0077131A">
      <w:pPr>
        <w:pStyle w:val="FootnoteText"/>
      </w:pPr>
      <w:r w:rsidRPr="00D7773B">
        <w:rPr>
          <w:rStyle w:val="FootnoteReference"/>
        </w:rPr>
        <w:footnoteRef/>
      </w:r>
      <w:r w:rsidRPr="00D7773B">
        <w:t xml:space="preserve"> Bulgaria, Criminal Code </w:t>
      </w:r>
      <w:r w:rsidRPr="00D7773B">
        <w:rPr>
          <w:i/>
        </w:rPr>
        <w:t>(</w:t>
      </w:r>
      <w:r w:rsidRPr="00D7773B">
        <w:rPr>
          <w:i/>
          <w:lang w:val="bg-BG"/>
        </w:rPr>
        <w:t>Наказателен кодекс</w:t>
      </w:r>
      <w:r w:rsidRPr="00D7773B">
        <w:rPr>
          <w:i/>
        </w:rPr>
        <w:t xml:space="preserve">), </w:t>
      </w:r>
      <w:r w:rsidRPr="00D7773B">
        <w:t xml:space="preserve">1 May 1968, </w:t>
      </w:r>
      <w:hyperlink r:id="rId27" w:history="1">
        <w:r w:rsidRPr="00D7773B">
          <w:rPr>
            <w:rStyle w:val="Hyperlink"/>
          </w:rPr>
          <w:t>https://lex.bg/laws/ldoc/1589654529</w:t>
        </w:r>
      </w:hyperlink>
      <w:r w:rsidRPr="00D7773B">
        <w:t xml:space="preserve">, Art. 93, item 31 </w:t>
      </w:r>
    </w:p>
  </w:footnote>
  <w:footnote w:id="31">
    <w:p w14:paraId="7C7EA52C" w14:textId="49605014" w:rsidR="00CD7B2E" w:rsidRPr="00D7773B" w:rsidRDefault="00CD7B2E" w:rsidP="0077131A">
      <w:pPr>
        <w:pStyle w:val="FootnoteText"/>
      </w:pPr>
      <w:r w:rsidRPr="00D7773B">
        <w:rPr>
          <w:rStyle w:val="FootnoteReference"/>
        </w:rPr>
        <w:footnoteRef/>
      </w:r>
      <w:r w:rsidRPr="00D7773B">
        <w:t xml:space="preserve"> Please see details on the highly publicised case of the murder of Mr Mihail Stoyanov, presumably due to his perceived LGBTQ+ appearance at </w:t>
      </w:r>
      <w:hyperlink r:id="rId28" w:history="1">
        <w:r w:rsidRPr="00D7773B">
          <w:rPr>
            <w:rStyle w:val="Hyperlink"/>
          </w:rPr>
          <w:t>http://www.bghelsinki.org/en/news/bg/single/press-release-bulgarian-and-international-organizations-demand-immediate-justice-mihail-stoyanov/</w:t>
        </w:r>
      </w:hyperlink>
      <w:r w:rsidRPr="00D7773B">
        <w:t xml:space="preserve">.  </w:t>
      </w:r>
    </w:p>
  </w:footnote>
  <w:footnote w:id="32">
    <w:p w14:paraId="3E43E02E" w14:textId="21929AC0" w:rsidR="00CD7B2E" w:rsidRPr="004D322B" w:rsidRDefault="00CD7B2E" w:rsidP="0077131A">
      <w:pPr>
        <w:pStyle w:val="FootnoteText"/>
      </w:pPr>
      <w:r w:rsidRPr="00D7773B">
        <w:rPr>
          <w:rStyle w:val="FootnoteReference"/>
        </w:rPr>
        <w:footnoteRef/>
      </w:r>
      <w:r w:rsidRPr="00D7773B">
        <w:t xml:space="preserve"> Bulgaria, Energy Act (</w:t>
      </w:r>
      <w:r w:rsidRPr="00D7773B">
        <w:rPr>
          <w:i/>
          <w:lang w:val="bg-BG"/>
        </w:rPr>
        <w:t>Закон за енергетиката</w:t>
      </w:r>
      <w:r w:rsidRPr="00D7773B">
        <w:rPr>
          <w:lang w:val="bg-BG"/>
        </w:rPr>
        <w:t xml:space="preserve">), </w:t>
      </w:r>
      <w:r w:rsidRPr="00D7773B">
        <w:t xml:space="preserve">9 December 2003, </w:t>
      </w:r>
      <w:hyperlink r:id="rId29" w:history="1">
        <w:r w:rsidRPr="00D7773B">
          <w:rPr>
            <w:rStyle w:val="Hyperlink"/>
          </w:rPr>
          <w:t>https://lex.bg/laws/ldoc/2135475623</w:t>
        </w:r>
      </w:hyperlink>
      <w:r w:rsidRPr="00D7773B">
        <w:rPr>
          <w:rStyle w:val="Hyperlink"/>
        </w:rPr>
        <w:t>,</w:t>
      </w:r>
      <w:r w:rsidRPr="00D7773B">
        <w:rPr>
          <w:lang w:val="en"/>
        </w:rPr>
        <w:t xml:space="preserve">  paragraph 1, item 66c of the </w:t>
      </w:r>
      <w:r w:rsidRPr="00D7773B">
        <w:t>additional provisions</w:t>
      </w:r>
      <w:r>
        <w:t xml:space="preserve">. The Act is transposing, among others, </w:t>
      </w:r>
      <w:r w:rsidRPr="00A05A18">
        <w:t>Directive 2012/27/EU of the European Parliament and of the Council of 25 October 2012 on energy efficiency, amending Directives 2009/125/EC and 2010/30/EU and repealing Directives 2004/8/EC and 2006/32/EC</w:t>
      </w:r>
      <w:r>
        <w:t xml:space="preserve">, </w:t>
      </w:r>
      <w:r w:rsidRPr="00A05A18">
        <w:t xml:space="preserve">Directive 2009/73/EC of the European Parliament and of the Council of 13 July 2009 concerning common rules for the internal market in natural gas and repealing Directive </w:t>
      </w:r>
      <w:r>
        <w:t>f</w:t>
      </w:r>
      <w:r w:rsidRPr="00A05A18">
        <w:t>2003/55/EC</w:t>
      </w:r>
      <w:r>
        <w:t xml:space="preserve">, </w:t>
      </w:r>
      <w:r w:rsidRPr="00A05A18">
        <w:t>Directive 2009/72/EC of the European Parliament and of the Council of 13 July 2009 concerning common rules for the internal market in electricity and repealing Directive 2003/54/EC</w:t>
      </w:r>
      <w:r>
        <w:t xml:space="preserve">, </w:t>
      </w:r>
    </w:p>
    <w:p w14:paraId="5F8B25E6" w14:textId="2AD081A2" w:rsidR="00CD7B2E" w:rsidRPr="00D7773B" w:rsidRDefault="00CD7B2E" w:rsidP="0077131A">
      <w:pPr>
        <w:pStyle w:val="FootnoteText"/>
      </w:pPr>
      <w:r w:rsidRPr="00A05A18">
        <w:t>Directive 2009/28/EC of the European Parliament and of the Council of 23 April 2009 on the promotion of the use of energy from renewable sources and amending and subsequently repealing Directives 2001/77/EC and 2003/30/EC</w:t>
      </w:r>
      <w:r>
        <w:t xml:space="preserve">, </w:t>
      </w:r>
      <w:r w:rsidRPr="00A05A18">
        <w:t>Directive 2005/89/EC of the European Parliament and of the Council of 18 January 2006 concerning measures to safeguard security of electricity supply and infrastructure investment</w:t>
      </w:r>
      <w:r>
        <w:t xml:space="preserve">, </w:t>
      </w:r>
      <w:r w:rsidRPr="00A05A18">
        <w:t>Council Directive 2004/67/EC of 26 April 2004 concerning measures to safeguard security of natural gas supply</w:t>
      </w:r>
      <w:r>
        <w:t xml:space="preserve"> </w:t>
      </w:r>
    </w:p>
  </w:footnote>
  <w:footnote w:id="33">
    <w:p w14:paraId="5E2DBF79" w14:textId="2071EB4D" w:rsidR="00CD7B2E" w:rsidRPr="00D7773B" w:rsidRDefault="00CD7B2E" w:rsidP="0077131A">
      <w:pPr>
        <w:pStyle w:val="FootnoteText"/>
        <w:rPr>
          <w:lang w:val="ru-RU"/>
        </w:rPr>
      </w:pPr>
      <w:r w:rsidRPr="00D7773B">
        <w:rPr>
          <w:rStyle w:val="FootnoteReference"/>
        </w:rPr>
        <w:footnoteRef/>
      </w:r>
      <w:r w:rsidRPr="00D7773B">
        <w:rPr>
          <w:lang w:val="ru-RU"/>
        </w:rPr>
        <w:t xml:space="preserve"> </w:t>
      </w:r>
      <w:r w:rsidRPr="00D7773B">
        <w:t>Bulgaria</w:t>
      </w:r>
      <w:r w:rsidRPr="00D7773B">
        <w:rPr>
          <w:lang w:val="ru-RU"/>
        </w:rPr>
        <w:t xml:space="preserve">, </w:t>
      </w:r>
      <w:r w:rsidRPr="00D7773B">
        <w:t>Open</w:t>
      </w:r>
      <w:r w:rsidRPr="00D7773B">
        <w:rPr>
          <w:lang w:val="ru-RU"/>
        </w:rPr>
        <w:t xml:space="preserve"> </w:t>
      </w:r>
      <w:r w:rsidRPr="00D7773B">
        <w:t>Society</w:t>
      </w:r>
      <w:r w:rsidRPr="00D7773B">
        <w:rPr>
          <w:lang w:val="ru-RU"/>
        </w:rPr>
        <w:t xml:space="preserve"> </w:t>
      </w:r>
      <w:r w:rsidRPr="00D7773B">
        <w:t>Institute</w:t>
      </w:r>
      <w:r w:rsidRPr="00D7773B">
        <w:rPr>
          <w:lang w:val="ru-RU"/>
        </w:rPr>
        <w:t xml:space="preserve"> (</w:t>
      </w:r>
      <w:r w:rsidRPr="00D7773B">
        <w:rPr>
          <w:i/>
          <w:lang w:val="bg-BG"/>
        </w:rPr>
        <w:t>Институт Отворено Общество</w:t>
      </w:r>
      <w:r w:rsidRPr="00D7773B">
        <w:rPr>
          <w:lang w:val="ru-RU"/>
        </w:rPr>
        <w:t xml:space="preserve">), </w:t>
      </w:r>
      <w:r w:rsidRPr="00D7773B">
        <w:t>Energy</w:t>
      </w:r>
      <w:r w:rsidRPr="00D7773B">
        <w:rPr>
          <w:lang w:val="ru-RU"/>
        </w:rPr>
        <w:t xml:space="preserve"> </w:t>
      </w:r>
      <w:r w:rsidRPr="00D7773B">
        <w:t>poverty</w:t>
      </w:r>
      <w:r w:rsidRPr="00D7773B">
        <w:rPr>
          <w:lang w:val="ru-RU"/>
        </w:rPr>
        <w:t xml:space="preserve"> </w:t>
      </w:r>
      <w:r w:rsidRPr="00D7773B">
        <w:t>in</w:t>
      </w:r>
      <w:r w:rsidRPr="00D7773B">
        <w:rPr>
          <w:lang w:val="ru-RU"/>
        </w:rPr>
        <w:t xml:space="preserve"> </w:t>
      </w:r>
      <w:r w:rsidRPr="00D7773B">
        <w:t>Bulgaria</w:t>
      </w:r>
      <w:r w:rsidRPr="00D7773B">
        <w:rPr>
          <w:lang w:val="ru-RU"/>
        </w:rPr>
        <w:t xml:space="preserve"> 2016 (</w:t>
      </w:r>
      <w:r w:rsidRPr="00D7773B">
        <w:rPr>
          <w:i/>
          <w:lang w:val="bg-BG"/>
        </w:rPr>
        <w:t>Енергийната бедност в България 2016 г.</w:t>
      </w:r>
      <w:r w:rsidRPr="00D7773B">
        <w:rPr>
          <w:lang w:val="ru-RU"/>
        </w:rPr>
        <w:t xml:space="preserve">), </w:t>
      </w:r>
      <w:hyperlink r:id="rId30" w:history="1">
        <w:r w:rsidRPr="00D7773B">
          <w:rPr>
            <w:rStyle w:val="Hyperlink"/>
          </w:rPr>
          <w:t>http</w:t>
        </w:r>
        <w:r w:rsidRPr="00D7773B">
          <w:rPr>
            <w:rStyle w:val="Hyperlink"/>
            <w:lang w:val="ru-RU"/>
          </w:rPr>
          <w:t>://</w:t>
        </w:r>
        <w:r w:rsidRPr="00D7773B">
          <w:rPr>
            <w:rStyle w:val="Hyperlink"/>
          </w:rPr>
          <w:t>osi</w:t>
        </w:r>
        <w:r w:rsidRPr="00D7773B">
          <w:rPr>
            <w:rStyle w:val="Hyperlink"/>
            <w:lang w:val="ru-RU"/>
          </w:rPr>
          <w:t>.</w:t>
        </w:r>
        <w:r w:rsidRPr="00D7773B">
          <w:rPr>
            <w:rStyle w:val="Hyperlink"/>
          </w:rPr>
          <w:t>bg</w:t>
        </w:r>
        <w:r w:rsidRPr="00D7773B">
          <w:rPr>
            <w:rStyle w:val="Hyperlink"/>
            <w:lang w:val="ru-RU"/>
          </w:rPr>
          <w:t>/</w:t>
        </w:r>
        <w:r w:rsidRPr="00D7773B">
          <w:rPr>
            <w:rStyle w:val="Hyperlink"/>
          </w:rPr>
          <w:t>downloads</w:t>
        </w:r>
        <w:r w:rsidRPr="00D7773B">
          <w:rPr>
            <w:rStyle w:val="Hyperlink"/>
            <w:lang w:val="ru-RU"/>
          </w:rPr>
          <w:t>/</w:t>
        </w:r>
        <w:r w:rsidRPr="00D7773B">
          <w:rPr>
            <w:rStyle w:val="Hyperlink"/>
          </w:rPr>
          <w:t>File</w:t>
        </w:r>
        <w:r w:rsidRPr="00D7773B">
          <w:rPr>
            <w:rStyle w:val="Hyperlink"/>
            <w:lang w:val="ru-RU"/>
          </w:rPr>
          <w:t>/2016/</w:t>
        </w:r>
        <w:r w:rsidRPr="00D7773B">
          <w:rPr>
            <w:rStyle w:val="Hyperlink"/>
          </w:rPr>
          <w:t>energy</w:t>
        </w:r>
        <w:r w:rsidRPr="00D7773B">
          <w:rPr>
            <w:rStyle w:val="Hyperlink"/>
            <w:lang w:val="ru-RU"/>
          </w:rPr>
          <w:t>4.</w:t>
        </w:r>
        <w:r w:rsidRPr="00D7773B">
          <w:rPr>
            <w:rStyle w:val="Hyperlink"/>
          </w:rPr>
          <w:t>pdf</w:t>
        </w:r>
      </w:hyperlink>
      <w:r w:rsidRPr="00D7773B">
        <w:rPr>
          <w:lang w:val="ru-RU"/>
        </w:rPr>
        <w:t xml:space="preserve">, </w:t>
      </w:r>
      <w:r w:rsidRPr="00D7773B">
        <w:t>p</w:t>
      </w:r>
      <w:r w:rsidRPr="00D7773B">
        <w:rPr>
          <w:lang w:val="ru-RU"/>
        </w:rPr>
        <w:t xml:space="preserve"> 3</w:t>
      </w:r>
    </w:p>
  </w:footnote>
  <w:footnote w:id="34">
    <w:p w14:paraId="784F009D" w14:textId="22BEE177" w:rsidR="00CD7B2E" w:rsidRPr="008E576F" w:rsidRDefault="00CD7B2E" w:rsidP="0077131A">
      <w:pPr>
        <w:pStyle w:val="FootnoteText"/>
        <w:rPr>
          <w:lang w:val="ru-RU"/>
        </w:rPr>
      </w:pPr>
      <w:r>
        <w:rPr>
          <w:rStyle w:val="FootnoteReference"/>
        </w:rPr>
        <w:footnoteRef/>
      </w:r>
      <w:r w:rsidRPr="008E576F">
        <w:rPr>
          <w:lang w:val="ru-RU"/>
        </w:rPr>
        <w:t xml:space="preserve"> </w:t>
      </w:r>
      <w:r w:rsidRPr="00D7773B">
        <w:t>Kisyov</w:t>
      </w:r>
      <w:r w:rsidRPr="008E576F">
        <w:rPr>
          <w:lang w:val="ru-RU"/>
        </w:rPr>
        <w:t xml:space="preserve">, </w:t>
      </w:r>
      <w:r w:rsidRPr="00D7773B">
        <w:t>P</w:t>
      </w:r>
      <w:r w:rsidRPr="008E576F">
        <w:rPr>
          <w:lang w:val="ru-RU"/>
        </w:rPr>
        <w:t xml:space="preserve">., </w:t>
      </w:r>
      <w:r w:rsidRPr="00D7773B">
        <w:t>Reduce</w:t>
      </w:r>
      <w:r w:rsidRPr="008E576F">
        <w:rPr>
          <w:lang w:val="ru-RU"/>
        </w:rPr>
        <w:t xml:space="preserve"> </w:t>
      </w:r>
      <w:r w:rsidRPr="00D7773B">
        <w:t>Energy</w:t>
      </w:r>
      <w:r w:rsidRPr="008E576F">
        <w:rPr>
          <w:lang w:val="ru-RU"/>
        </w:rPr>
        <w:t xml:space="preserve"> </w:t>
      </w:r>
      <w:r w:rsidRPr="00D7773B">
        <w:t>use</w:t>
      </w:r>
      <w:r w:rsidRPr="008E576F">
        <w:rPr>
          <w:lang w:val="ru-RU"/>
        </w:rPr>
        <w:t xml:space="preserve"> </w:t>
      </w:r>
      <w:r w:rsidRPr="00D7773B">
        <w:t>And</w:t>
      </w:r>
      <w:r w:rsidRPr="008E576F">
        <w:rPr>
          <w:lang w:val="ru-RU"/>
        </w:rPr>
        <w:t xml:space="preserve"> </w:t>
      </w:r>
      <w:r w:rsidRPr="00D7773B">
        <w:t>Change</w:t>
      </w:r>
      <w:r w:rsidRPr="008E576F">
        <w:rPr>
          <w:lang w:val="ru-RU"/>
        </w:rPr>
        <w:t xml:space="preserve"> </w:t>
      </w:r>
      <w:r w:rsidRPr="00D7773B">
        <w:t>Habits</w:t>
      </w:r>
      <w:r w:rsidRPr="008E576F">
        <w:rPr>
          <w:lang w:val="ru-RU"/>
        </w:rPr>
        <w:t xml:space="preserve"> (</w:t>
      </w:r>
      <w:r w:rsidRPr="00D7773B">
        <w:t>REACH</w:t>
      </w:r>
      <w:r w:rsidRPr="008E576F">
        <w:rPr>
          <w:lang w:val="ru-RU"/>
        </w:rPr>
        <w:t xml:space="preserve">), </w:t>
      </w:r>
      <w:r w:rsidRPr="00D7773B">
        <w:t>Report</w:t>
      </w:r>
      <w:r w:rsidRPr="008E576F">
        <w:rPr>
          <w:lang w:val="ru-RU"/>
        </w:rPr>
        <w:t xml:space="preserve"> </w:t>
      </w:r>
      <w:r w:rsidRPr="00D7773B">
        <w:t>of</w:t>
      </w:r>
      <w:r w:rsidRPr="008E576F">
        <w:rPr>
          <w:lang w:val="ru-RU"/>
        </w:rPr>
        <w:t xml:space="preserve"> </w:t>
      </w:r>
      <w:r w:rsidRPr="00D7773B">
        <w:t>the</w:t>
      </w:r>
      <w:r w:rsidRPr="008E576F">
        <w:rPr>
          <w:lang w:val="ru-RU"/>
        </w:rPr>
        <w:t xml:space="preserve"> </w:t>
      </w:r>
      <w:r w:rsidRPr="00D7773B">
        <w:t>Situation</w:t>
      </w:r>
      <w:r w:rsidRPr="008E576F">
        <w:rPr>
          <w:lang w:val="ru-RU"/>
        </w:rPr>
        <w:t xml:space="preserve"> </w:t>
      </w:r>
      <w:r w:rsidRPr="00D7773B">
        <w:t>in</w:t>
      </w:r>
      <w:r w:rsidRPr="008E576F">
        <w:rPr>
          <w:lang w:val="ru-RU"/>
        </w:rPr>
        <w:t xml:space="preserve"> </w:t>
      </w:r>
      <w:r w:rsidRPr="00D7773B">
        <w:t>Bulgaria</w:t>
      </w:r>
      <w:r w:rsidRPr="008E576F">
        <w:rPr>
          <w:lang w:val="ru-RU"/>
        </w:rPr>
        <w:t xml:space="preserve"> </w:t>
      </w:r>
      <w:r w:rsidRPr="00D7773B">
        <w:t>regarding</w:t>
      </w:r>
      <w:r w:rsidRPr="008E576F">
        <w:rPr>
          <w:lang w:val="ru-RU"/>
        </w:rPr>
        <w:t xml:space="preserve"> </w:t>
      </w:r>
      <w:r w:rsidRPr="00D7773B">
        <w:t>Energy</w:t>
      </w:r>
      <w:r w:rsidRPr="008E576F">
        <w:rPr>
          <w:lang w:val="ru-RU"/>
        </w:rPr>
        <w:t xml:space="preserve"> </w:t>
      </w:r>
      <w:r w:rsidRPr="00D7773B">
        <w:t>Poverty</w:t>
      </w:r>
      <w:r w:rsidRPr="008E576F">
        <w:rPr>
          <w:lang w:val="ru-RU"/>
        </w:rPr>
        <w:t xml:space="preserve"> (</w:t>
      </w:r>
      <w:r w:rsidRPr="00D7773B">
        <w:rPr>
          <w:i/>
          <w:lang w:val="bg-BG"/>
        </w:rPr>
        <w:t>Доклад за ситуацията в България по отношение на енергийната бедност</w:t>
      </w:r>
      <w:r w:rsidRPr="008E576F">
        <w:rPr>
          <w:lang w:val="ru-RU"/>
        </w:rPr>
        <w:t xml:space="preserve">), </w:t>
      </w:r>
      <w:hyperlink r:id="rId31" w:history="1">
        <w:r w:rsidRPr="00D7773B">
          <w:rPr>
            <w:rStyle w:val="Hyperlink"/>
          </w:rPr>
          <w:t>http</w:t>
        </w:r>
        <w:r w:rsidRPr="008E576F">
          <w:rPr>
            <w:rStyle w:val="Hyperlink"/>
            <w:lang w:val="ru-RU"/>
          </w:rPr>
          <w:t>://</w:t>
        </w:r>
        <w:r w:rsidRPr="00D7773B">
          <w:rPr>
            <w:rStyle w:val="Hyperlink"/>
          </w:rPr>
          <w:t>reach</w:t>
        </w:r>
        <w:r w:rsidRPr="008E576F">
          <w:rPr>
            <w:rStyle w:val="Hyperlink"/>
            <w:lang w:val="ru-RU"/>
          </w:rPr>
          <w:t>-</w:t>
        </w:r>
        <w:r w:rsidRPr="00D7773B">
          <w:rPr>
            <w:rStyle w:val="Hyperlink"/>
          </w:rPr>
          <w:t>energy</w:t>
        </w:r>
        <w:r w:rsidRPr="008E576F">
          <w:rPr>
            <w:rStyle w:val="Hyperlink"/>
            <w:lang w:val="ru-RU"/>
          </w:rPr>
          <w:t>.</w:t>
        </w:r>
        <w:r w:rsidRPr="00D7773B">
          <w:rPr>
            <w:rStyle w:val="Hyperlink"/>
          </w:rPr>
          <w:t>eu</w:t>
        </w:r>
        <w:r w:rsidRPr="008E576F">
          <w:rPr>
            <w:rStyle w:val="Hyperlink"/>
            <w:lang w:val="ru-RU"/>
          </w:rPr>
          <w:t>/</w:t>
        </w:r>
        <w:r w:rsidRPr="00D7773B">
          <w:rPr>
            <w:rStyle w:val="Hyperlink"/>
          </w:rPr>
          <w:t>wordpress</w:t>
        </w:r>
        <w:r w:rsidRPr="008E576F">
          <w:rPr>
            <w:rStyle w:val="Hyperlink"/>
            <w:lang w:val="ru-RU"/>
          </w:rPr>
          <w:t>/</w:t>
        </w:r>
        <w:r w:rsidRPr="00D7773B">
          <w:rPr>
            <w:rStyle w:val="Hyperlink"/>
          </w:rPr>
          <w:t>wp</w:t>
        </w:r>
        <w:r w:rsidRPr="008E576F">
          <w:rPr>
            <w:rStyle w:val="Hyperlink"/>
            <w:lang w:val="ru-RU"/>
          </w:rPr>
          <w:t>-</w:t>
        </w:r>
        <w:r w:rsidRPr="00D7773B">
          <w:rPr>
            <w:rStyle w:val="Hyperlink"/>
          </w:rPr>
          <w:t>content</w:t>
        </w:r>
        <w:r w:rsidRPr="008E576F">
          <w:rPr>
            <w:rStyle w:val="Hyperlink"/>
            <w:lang w:val="ru-RU"/>
          </w:rPr>
          <w:t>/</w:t>
        </w:r>
        <w:r w:rsidRPr="00D7773B">
          <w:rPr>
            <w:rStyle w:val="Hyperlink"/>
          </w:rPr>
          <w:t>uploads</w:t>
        </w:r>
        <w:r w:rsidRPr="008E576F">
          <w:rPr>
            <w:rStyle w:val="Hyperlink"/>
            <w:lang w:val="ru-RU"/>
          </w:rPr>
          <w:t>/2014/11/</w:t>
        </w:r>
        <w:r w:rsidRPr="00D7773B">
          <w:rPr>
            <w:rStyle w:val="Hyperlink"/>
          </w:rPr>
          <w:t>D</w:t>
        </w:r>
        <w:r w:rsidRPr="008E576F">
          <w:rPr>
            <w:rStyle w:val="Hyperlink"/>
            <w:lang w:val="ru-RU"/>
          </w:rPr>
          <w:t>2.2-</w:t>
        </w:r>
        <w:r w:rsidRPr="00D7773B">
          <w:rPr>
            <w:rStyle w:val="Hyperlink"/>
          </w:rPr>
          <w:t>EAP</w:t>
        </w:r>
        <w:r w:rsidRPr="008E576F">
          <w:rPr>
            <w:rStyle w:val="Hyperlink"/>
            <w:lang w:val="ru-RU"/>
          </w:rPr>
          <w:t>_</w:t>
        </w:r>
        <w:r w:rsidRPr="00D7773B">
          <w:rPr>
            <w:rStyle w:val="Hyperlink"/>
          </w:rPr>
          <w:t>BG</w:t>
        </w:r>
        <w:r w:rsidRPr="008E576F">
          <w:rPr>
            <w:rStyle w:val="Hyperlink"/>
            <w:lang w:val="ru-RU"/>
          </w:rPr>
          <w:t>.</w:t>
        </w:r>
        <w:r w:rsidRPr="00D7773B">
          <w:rPr>
            <w:rStyle w:val="Hyperlink"/>
          </w:rPr>
          <w:t>pdf</w:t>
        </w:r>
      </w:hyperlink>
    </w:p>
  </w:footnote>
  <w:footnote w:id="35">
    <w:p w14:paraId="7C60F94F" w14:textId="77777777" w:rsidR="007E524C" w:rsidRPr="00D7773B" w:rsidRDefault="007E524C" w:rsidP="0077131A">
      <w:pPr>
        <w:pStyle w:val="FootnoteText"/>
        <w:rPr>
          <w:lang w:val="bg-BG"/>
        </w:rPr>
      </w:pPr>
      <w:r w:rsidRPr="00D7773B">
        <w:rPr>
          <w:rStyle w:val="FootnoteReference"/>
        </w:rPr>
        <w:footnoteRef/>
      </w:r>
      <w:r w:rsidRPr="00D7773B">
        <w:t xml:space="preserve"> </w:t>
      </w:r>
      <w:r>
        <w:t xml:space="preserve">See, for example, the publicity campaigns of the revenue agency at </w:t>
      </w:r>
      <w:hyperlink r:id="rId32" w:anchor="salary" w:history="1">
        <w:r w:rsidRPr="00E00DA8">
          <w:rPr>
            <w:rStyle w:val="Hyperlink"/>
          </w:rPr>
          <w:t>http://www.zaplatavplik.bg/#salary</w:t>
        </w:r>
      </w:hyperlink>
      <w:r>
        <w:rPr>
          <w:rStyle w:val="Hyperlink"/>
          <w:color w:val="auto"/>
          <w:u w:val="none"/>
        </w:rPr>
        <w:t xml:space="preserve">. or the annual reports of the labour inspectorate at </w:t>
      </w:r>
      <w:hyperlink r:id="rId33" w:history="1">
        <w:r w:rsidRPr="00D7773B">
          <w:rPr>
            <w:rStyle w:val="Hyperlink"/>
          </w:rPr>
          <w:t>http://www.gli.government.bg/bg/page.php?c=40&amp;page=0</w:t>
        </w:r>
      </w:hyperlink>
    </w:p>
  </w:footnote>
  <w:footnote w:id="36">
    <w:p w14:paraId="3C079EE6" w14:textId="77777777" w:rsidR="00CD7B2E" w:rsidRPr="00D7773B" w:rsidRDefault="00CD7B2E" w:rsidP="0077131A">
      <w:pPr>
        <w:pStyle w:val="FootnoteText"/>
      </w:pPr>
      <w:r w:rsidRPr="00D7773B">
        <w:rPr>
          <w:rStyle w:val="FootnoteReference"/>
        </w:rPr>
        <w:footnoteRef/>
      </w:r>
      <w:r w:rsidRPr="00D7773B">
        <w:t xml:space="preserve"> Bulgaria, Constitution of the Republic of Bulgaria (</w:t>
      </w:r>
      <w:r w:rsidRPr="00D7773B">
        <w:rPr>
          <w:i/>
          <w:lang w:val="bg-BG"/>
        </w:rPr>
        <w:t>Конституция на Република България</w:t>
      </w:r>
      <w:r w:rsidRPr="00D7773B">
        <w:t xml:space="preserve">), </w:t>
      </w:r>
      <w:r w:rsidRPr="00D7773B">
        <w:rPr>
          <w:lang w:val="bg-BG"/>
        </w:rPr>
        <w:t>13</w:t>
      </w:r>
      <w:r w:rsidRPr="00D7773B">
        <w:t xml:space="preserve"> July </w:t>
      </w:r>
      <w:r w:rsidRPr="00D7773B">
        <w:rPr>
          <w:lang w:val="bg-BG"/>
        </w:rPr>
        <w:t>1991</w:t>
      </w:r>
      <w:r w:rsidRPr="00D7773B">
        <w:t xml:space="preserve">, </w:t>
      </w:r>
      <w:hyperlink r:id="rId34" w:history="1">
        <w:r w:rsidRPr="00D7773B">
          <w:rPr>
            <w:rStyle w:val="Hyperlink"/>
          </w:rPr>
          <w:t>https://www.lex.bg/laws/ldoc/521957377</w:t>
        </w:r>
      </w:hyperlink>
      <w:r w:rsidRPr="00D7773B">
        <w:rPr>
          <w:rStyle w:val="Hyperlink"/>
          <w:color w:val="000000" w:themeColor="text1"/>
          <w:u w:val="none"/>
        </w:rPr>
        <w:t>, Art. 6, para. 2, Art. 54, para. 1</w:t>
      </w:r>
    </w:p>
  </w:footnote>
  <w:footnote w:id="37">
    <w:p w14:paraId="63C16AED" w14:textId="0E719FF0" w:rsidR="00CD7B2E" w:rsidRPr="00D7773B" w:rsidRDefault="00CD7B2E" w:rsidP="0077131A">
      <w:pPr>
        <w:pStyle w:val="FootnoteText"/>
      </w:pPr>
      <w:r w:rsidRPr="00D7773B">
        <w:rPr>
          <w:rStyle w:val="FootnoteReference"/>
        </w:rPr>
        <w:footnoteRef/>
      </w:r>
      <w:r w:rsidRPr="00D7773B">
        <w:t xml:space="preserve"> Bulgaria, Protection against Discrimination Act </w:t>
      </w:r>
      <w:r w:rsidRPr="00D7773B">
        <w:rPr>
          <w:i/>
        </w:rPr>
        <w:t>(</w:t>
      </w:r>
      <w:r w:rsidRPr="00D7773B">
        <w:rPr>
          <w:i/>
          <w:lang w:val="bg-BG"/>
        </w:rPr>
        <w:t>Закон за защита от дискриминация</w:t>
      </w:r>
      <w:r w:rsidRPr="00D7773B">
        <w:rPr>
          <w:i/>
        </w:rPr>
        <w:t>)</w:t>
      </w:r>
      <w:r w:rsidRPr="00D7773B">
        <w:rPr>
          <w:lang w:val="bg-BG"/>
        </w:rPr>
        <w:t xml:space="preserve">, 1 </w:t>
      </w:r>
      <w:r w:rsidRPr="00D7773B">
        <w:t xml:space="preserve">January 2004, </w:t>
      </w:r>
      <w:hyperlink r:id="rId35" w:history="1">
        <w:r w:rsidRPr="00D7773B">
          <w:rPr>
            <w:rStyle w:val="Hyperlink"/>
          </w:rPr>
          <w:t>https://www.lex.bg/laws/ldoc/2135472223</w:t>
        </w:r>
      </w:hyperlink>
      <w:r w:rsidRPr="00D7773B">
        <w:rPr>
          <w:rStyle w:val="Hyperlink"/>
        </w:rPr>
        <w:t xml:space="preserve"> </w:t>
      </w:r>
      <w:r w:rsidRPr="00D7773B">
        <w:t>It transposes a number of EU legal acts including Council Directive 2000/43/EC of 29 June 2000 implementing the principle of equal treatment between persons irrespective of racial or ethnic origin and Council Directive 2000/78/EC of 27 November 2000 establishing a general framework for equal treatment in employment and occupation, Art 2,4, Art 5 in relation with para. 1, item 6 of additional provisions, Art 7, para. 1, item 16-17, Art. 24, Art. 35, Art. 38</w:t>
      </w:r>
    </w:p>
  </w:footnote>
  <w:footnote w:id="38">
    <w:p w14:paraId="05FCDE45" w14:textId="621AA10F" w:rsidR="00CD7B2E" w:rsidRPr="00D7773B" w:rsidRDefault="00CD7B2E" w:rsidP="0077131A">
      <w:pPr>
        <w:pStyle w:val="FootnoteText"/>
      </w:pPr>
      <w:r w:rsidRPr="00D7773B">
        <w:rPr>
          <w:rStyle w:val="FootnoteReference"/>
        </w:rPr>
        <w:footnoteRef/>
      </w:r>
      <w:r w:rsidRPr="00D7773B">
        <w:t xml:space="preserve"> Bulgaria, Protection against Discrimination Act </w:t>
      </w:r>
      <w:r w:rsidRPr="00D7773B">
        <w:rPr>
          <w:i/>
        </w:rPr>
        <w:t>(</w:t>
      </w:r>
      <w:r w:rsidRPr="00D7773B">
        <w:rPr>
          <w:i/>
          <w:lang w:val="bg-BG"/>
        </w:rPr>
        <w:t>Закон за защита от дискриминация</w:t>
      </w:r>
      <w:r w:rsidRPr="00D7773B">
        <w:rPr>
          <w:i/>
        </w:rPr>
        <w:t>)</w:t>
      </w:r>
      <w:r w:rsidRPr="00D7773B">
        <w:rPr>
          <w:lang w:val="bg-BG"/>
        </w:rPr>
        <w:t xml:space="preserve">, 1 </w:t>
      </w:r>
      <w:r w:rsidRPr="00D7773B">
        <w:t xml:space="preserve">January 2004, </w:t>
      </w:r>
      <w:hyperlink r:id="rId36" w:history="1">
        <w:r w:rsidRPr="00D7773B">
          <w:rPr>
            <w:rStyle w:val="Hyperlink"/>
          </w:rPr>
          <w:t>https://www.lex.bg/laws/ldoc/2135472223</w:t>
        </w:r>
      </w:hyperlink>
      <w:r w:rsidRPr="00D7773B">
        <w:t>,.</w:t>
      </w:r>
    </w:p>
  </w:footnote>
  <w:footnote w:id="39">
    <w:p w14:paraId="0C965840" w14:textId="77777777" w:rsidR="00CD7B2E" w:rsidRPr="00D7773B" w:rsidRDefault="00CD7B2E" w:rsidP="0077131A">
      <w:pPr>
        <w:pStyle w:val="FootnoteText"/>
      </w:pPr>
      <w:r w:rsidRPr="00D7773B">
        <w:rPr>
          <w:rStyle w:val="FootnoteReference"/>
        </w:rPr>
        <w:footnoteRef/>
      </w:r>
      <w:r w:rsidRPr="00D7773B">
        <w:t xml:space="preserve"> Bulgaria, Constitution of the Republic of Bulgaria (</w:t>
      </w:r>
      <w:r w:rsidRPr="00D7773B">
        <w:rPr>
          <w:i/>
          <w:lang w:val="bg-BG"/>
        </w:rPr>
        <w:t>Конституция на Република България</w:t>
      </w:r>
      <w:r w:rsidRPr="00D7773B">
        <w:t xml:space="preserve">), </w:t>
      </w:r>
      <w:r w:rsidRPr="00D7773B">
        <w:rPr>
          <w:lang w:val="bg-BG"/>
        </w:rPr>
        <w:t>13</w:t>
      </w:r>
      <w:r w:rsidRPr="00D7773B">
        <w:t xml:space="preserve"> July </w:t>
      </w:r>
      <w:r w:rsidRPr="00D7773B">
        <w:rPr>
          <w:lang w:val="bg-BG"/>
        </w:rPr>
        <w:t>1991</w:t>
      </w:r>
      <w:r w:rsidRPr="00D7773B">
        <w:t xml:space="preserve">, </w:t>
      </w:r>
      <w:hyperlink r:id="rId37" w:history="1">
        <w:r w:rsidRPr="00D7773B">
          <w:rPr>
            <w:rStyle w:val="Hyperlink"/>
          </w:rPr>
          <w:t>https://www.lex.bg/laws/ldoc/521957377</w:t>
        </w:r>
      </w:hyperlink>
      <w:r w:rsidRPr="00D7773B">
        <w:rPr>
          <w:i/>
          <w:lang w:val="bg-BG"/>
        </w:rPr>
        <w:t>,</w:t>
      </w:r>
      <w:r w:rsidRPr="00D7773B">
        <w:t xml:space="preserve"> Art. 14, </w:t>
      </w:r>
      <w:r w:rsidRPr="00D7773B">
        <w:rPr>
          <w:lang w:val="bg-BG"/>
        </w:rPr>
        <w:t>47</w:t>
      </w:r>
      <w:r w:rsidRPr="00D7773B">
        <w:t>, 53</w:t>
      </w:r>
    </w:p>
  </w:footnote>
  <w:footnote w:id="40">
    <w:p w14:paraId="1D121991" w14:textId="659C32F0" w:rsidR="00CD7B2E" w:rsidRPr="00D7773B" w:rsidRDefault="00CD7B2E" w:rsidP="0077131A">
      <w:pPr>
        <w:pStyle w:val="FootnoteText"/>
      </w:pPr>
      <w:r w:rsidRPr="00D7773B">
        <w:rPr>
          <w:rStyle w:val="FootnoteReference"/>
        </w:rPr>
        <w:footnoteRef/>
      </w:r>
      <w:r w:rsidRPr="00D7773B">
        <w:t xml:space="preserve"> The provisions on abandonment enter into force as of 1 January 2020. </w:t>
      </w:r>
    </w:p>
  </w:footnote>
  <w:footnote w:id="41">
    <w:p w14:paraId="798FEE07" w14:textId="55DC6A9C" w:rsidR="00CD7B2E" w:rsidRPr="00D7773B" w:rsidRDefault="00CD7B2E" w:rsidP="0077131A">
      <w:pPr>
        <w:pStyle w:val="FootnoteText"/>
        <w:rPr>
          <w:lang w:val="bg-BG"/>
        </w:rPr>
      </w:pPr>
      <w:r w:rsidRPr="00D7773B">
        <w:rPr>
          <w:rStyle w:val="FootnoteReference"/>
        </w:rPr>
        <w:footnoteRef/>
      </w:r>
      <w:r w:rsidRPr="00D7773B">
        <w:t xml:space="preserve"> Bulgaria, Child Protection Act (</w:t>
      </w:r>
      <w:r w:rsidRPr="00D7773B">
        <w:rPr>
          <w:i/>
          <w:lang w:val="bg-BG"/>
        </w:rPr>
        <w:t>Закон за закрила на детето</w:t>
      </w:r>
      <w:r w:rsidRPr="00D7773B">
        <w:rPr>
          <w:lang w:val="bg-BG"/>
        </w:rPr>
        <w:t xml:space="preserve">), 20 </w:t>
      </w:r>
      <w:r w:rsidRPr="00D7773B">
        <w:t xml:space="preserve">June 2000, </w:t>
      </w:r>
      <w:hyperlink r:id="rId38" w:history="1">
        <w:r w:rsidRPr="00D7773B">
          <w:rPr>
            <w:rStyle w:val="Hyperlink"/>
          </w:rPr>
          <w:t>https://www.lex.bg/laws/ldoc/2134925825</w:t>
        </w:r>
      </w:hyperlink>
      <w:r w:rsidRPr="00D7773B">
        <w:rPr>
          <w:rStyle w:val="Hyperlink"/>
          <w:color w:val="auto"/>
          <w:u w:val="none"/>
          <w:lang w:val="bg-BG"/>
        </w:rPr>
        <w:t xml:space="preserve">, </w:t>
      </w:r>
      <w:r w:rsidRPr="00D7773B">
        <w:rPr>
          <w:rStyle w:val="Hyperlink"/>
          <w:color w:val="auto"/>
          <w:u w:val="none"/>
        </w:rPr>
        <w:t>Art. 17a, para. 1, item 9, Art. 21, para. 1, item 8, Art. 36a, 36</w:t>
      </w:r>
      <w:r w:rsidRPr="00D7773B">
        <w:rPr>
          <w:rStyle w:val="Hyperlink"/>
          <w:color w:val="auto"/>
          <w:u w:val="none"/>
          <w:lang w:val="bg-BG"/>
        </w:rPr>
        <w:t xml:space="preserve">б, </w:t>
      </w:r>
      <w:r w:rsidRPr="00D7773B">
        <w:rPr>
          <w:rStyle w:val="Hyperlink"/>
          <w:color w:val="auto"/>
          <w:u w:val="none"/>
        </w:rPr>
        <w:t>36</w:t>
      </w:r>
      <w:r w:rsidRPr="00D7773B">
        <w:rPr>
          <w:rStyle w:val="Hyperlink"/>
          <w:color w:val="auto"/>
          <w:u w:val="none"/>
          <w:lang w:val="bg-BG"/>
        </w:rPr>
        <w:t>г, 36д</w:t>
      </w:r>
    </w:p>
  </w:footnote>
  <w:footnote w:id="42">
    <w:p w14:paraId="35F2A6F8" w14:textId="00CA6B1A" w:rsidR="00CD7B2E" w:rsidRPr="00D7773B" w:rsidRDefault="00CD7B2E" w:rsidP="0077131A">
      <w:pPr>
        <w:pStyle w:val="FootnoteText"/>
      </w:pPr>
      <w:r w:rsidRPr="00D7773B">
        <w:rPr>
          <w:rStyle w:val="FootnoteReference"/>
        </w:rPr>
        <w:footnoteRef/>
      </w:r>
      <w:r w:rsidRPr="00D7773B">
        <w:t xml:space="preserve"> Bulgaria, Rules for the Implementation of the Child Protection Act (</w:t>
      </w:r>
      <w:r w:rsidRPr="00D7773B">
        <w:rPr>
          <w:i/>
          <w:lang w:val="bg-BG"/>
        </w:rPr>
        <w:t>Правилник за прилагане на закона за закрила на детето</w:t>
      </w:r>
      <w:r w:rsidRPr="00D7773B">
        <w:rPr>
          <w:lang w:val="bg-BG"/>
        </w:rPr>
        <w:t>),</w:t>
      </w:r>
      <w:r w:rsidRPr="00D7773B">
        <w:t xml:space="preserve"> 25 July 2003, </w:t>
      </w:r>
      <w:hyperlink r:id="rId39" w:history="1">
        <w:r w:rsidRPr="00D7773B">
          <w:rPr>
            <w:rStyle w:val="Hyperlink"/>
          </w:rPr>
          <w:t>https://www.lex.bg/laws/ldoc/2135469520</w:t>
        </w:r>
      </w:hyperlink>
      <w:r w:rsidRPr="00D7773B">
        <w:rPr>
          <w:rStyle w:val="Hyperlink"/>
          <w:color w:val="auto"/>
          <w:u w:val="none"/>
        </w:rPr>
        <w:t xml:space="preserve">, Art. 9 and following, Art. 68 </w:t>
      </w:r>
    </w:p>
  </w:footnote>
  <w:footnote w:id="43">
    <w:p w14:paraId="47463BD2" w14:textId="28A87FC3" w:rsidR="00CD7B2E" w:rsidRPr="00D7773B" w:rsidRDefault="00CD7B2E" w:rsidP="0077131A">
      <w:pPr>
        <w:pStyle w:val="FootnoteText"/>
      </w:pPr>
      <w:r w:rsidRPr="00D7773B">
        <w:rPr>
          <w:rStyle w:val="FootnoteReference"/>
        </w:rPr>
        <w:footnoteRef/>
      </w:r>
      <w:r w:rsidRPr="00D7773B">
        <w:t xml:space="preserve"> Bulgaria, Protection against Discrimination Act </w:t>
      </w:r>
      <w:r w:rsidRPr="00D7773B">
        <w:rPr>
          <w:i/>
        </w:rPr>
        <w:t>(</w:t>
      </w:r>
      <w:r w:rsidRPr="00D7773B">
        <w:rPr>
          <w:i/>
          <w:lang w:val="bg-BG"/>
        </w:rPr>
        <w:t>Закон за защита от дискриминация</w:t>
      </w:r>
      <w:r w:rsidRPr="00D7773B">
        <w:rPr>
          <w:i/>
        </w:rPr>
        <w:t>)</w:t>
      </w:r>
      <w:r w:rsidRPr="00D7773B">
        <w:rPr>
          <w:lang w:val="bg-BG"/>
        </w:rPr>
        <w:t xml:space="preserve">, 1 </w:t>
      </w:r>
      <w:r w:rsidRPr="00D7773B">
        <w:t xml:space="preserve">January 2004, </w:t>
      </w:r>
      <w:hyperlink r:id="rId40" w:history="1">
        <w:r w:rsidRPr="00D7773B">
          <w:rPr>
            <w:rStyle w:val="Hyperlink"/>
          </w:rPr>
          <w:t>https://www.lex.bg/laws/ldoc/2135472223</w:t>
        </w:r>
      </w:hyperlink>
      <w:r w:rsidRPr="00D7773B">
        <w:t>, Art 7, item 15</w:t>
      </w:r>
    </w:p>
  </w:footnote>
  <w:footnote w:id="44">
    <w:p w14:paraId="2F21B571" w14:textId="4A9AA3FE" w:rsidR="00CD7B2E" w:rsidRPr="00D7773B" w:rsidRDefault="00CD7B2E" w:rsidP="0077131A">
      <w:pPr>
        <w:pStyle w:val="FootnoteText"/>
      </w:pPr>
      <w:r w:rsidRPr="00D7773B">
        <w:rPr>
          <w:rStyle w:val="FootnoteReference"/>
        </w:rPr>
        <w:footnoteRef/>
      </w:r>
      <w:r w:rsidRPr="00D7773B">
        <w:t xml:space="preserve"> Bulgaria, Social Services Act </w:t>
      </w:r>
      <w:r w:rsidRPr="00D7773B">
        <w:rPr>
          <w:i/>
        </w:rPr>
        <w:t>(</w:t>
      </w:r>
      <w:r w:rsidRPr="00D7773B">
        <w:rPr>
          <w:i/>
          <w:lang w:val="bg-BG"/>
        </w:rPr>
        <w:t>Закон за социалните услуги</w:t>
      </w:r>
      <w:r w:rsidRPr="00D7773B">
        <w:rPr>
          <w:i/>
        </w:rPr>
        <w:t>)</w:t>
      </w:r>
      <w:r w:rsidRPr="00D7773B">
        <w:rPr>
          <w:rStyle w:val="Hyperlink"/>
          <w:color w:val="auto"/>
          <w:u w:val="none"/>
        </w:rPr>
        <w:t>, 1 January 2020,</w:t>
      </w:r>
      <w:r w:rsidRPr="00D7773B">
        <w:rPr>
          <w:rStyle w:val="Hyperlink"/>
        </w:rPr>
        <w:t xml:space="preserve"> </w:t>
      </w:r>
      <w:hyperlink r:id="rId41" w:history="1">
        <w:r w:rsidRPr="00D7773B">
          <w:rPr>
            <w:rStyle w:val="Hyperlink"/>
          </w:rPr>
          <w:t>https://www.lex.bg/bg/laws/ldoc/2137191914</w:t>
        </w:r>
      </w:hyperlink>
      <w:r w:rsidRPr="00D7773B">
        <w:rPr>
          <w:lang w:val="bg-BG"/>
        </w:rPr>
        <w:t>,</w:t>
      </w:r>
      <w:r w:rsidRPr="00D7773B">
        <w:t xml:space="preserve"> Art. 12, para. 3</w:t>
      </w:r>
      <w:r w:rsidRPr="00D7773B">
        <w:rPr>
          <w:lang w:val="bg-BG"/>
        </w:rPr>
        <w:t xml:space="preserve">, </w:t>
      </w:r>
      <w:r w:rsidRPr="00D7773B">
        <w:t>Art. 13, para. 3, Art. 14, para. 2, item 2, Art. 87</w:t>
      </w:r>
    </w:p>
  </w:footnote>
  <w:footnote w:id="45">
    <w:p w14:paraId="298D85C3" w14:textId="511CBC54" w:rsidR="00CD7B2E" w:rsidRPr="00D7773B" w:rsidRDefault="00CD7B2E" w:rsidP="0077131A">
      <w:pPr>
        <w:pStyle w:val="FootnoteText"/>
      </w:pPr>
      <w:r w:rsidRPr="00D7773B">
        <w:rPr>
          <w:rStyle w:val="FootnoteReference"/>
        </w:rPr>
        <w:footnoteRef/>
      </w:r>
      <w:r w:rsidRPr="00D7773B">
        <w:t xml:space="preserve"> Bulgaria, Combatting Human Trafficking Act </w:t>
      </w:r>
      <w:r w:rsidRPr="00D7773B">
        <w:rPr>
          <w:i/>
        </w:rPr>
        <w:t>(</w:t>
      </w:r>
      <w:r w:rsidRPr="00D7773B">
        <w:rPr>
          <w:i/>
          <w:lang w:val="bg-BG"/>
        </w:rPr>
        <w:t>Закон за борба с трафика на хора</w:t>
      </w:r>
      <w:r w:rsidRPr="00D7773B">
        <w:rPr>
          <w:i/>
        </w:rPr>
        <w:t>)</w:t>
      </w:r>
      <w:r w:rsidRPr="00D7773B">
        <w:rPr>
          <w:i/>
          <w:lang w:val="bg-BG"/>
        </w:rPr>
        <w:t xml:space="preserve">, </w:t>
      </w:r>
      <w:r w:rsidRPr="00D7773B">
        <w:rPr>
          <w:lang w:val="bg-BG"/>
        </w:rPr>
        <w:t xml:space="preserve">20 </w:t>
      </w:r>
      <w:r w:rsidRPr="00D7773B">
        <w:t xml:space="preserve">May 2003, </w:t>
      </w:r>
      <w:hyperlink r:id="rId42" w:history="1">
        <w:r w:rsidRPr="00D7773B">
          <w:rPr>
            <w:rStyle w:val="Hyperlink"/>
          </w:rPr>
          <w:t>https://www.lex.bg/laws/ldoc/2135467374</w:t>
        </w:r>
      </w:hyperlink>
      <w:r w:rsidRPr="00D7773B">
        <w:rPr>
          <w:rStyle w:val="Hyperlink"/>
          <w:color w:val="000000" w:themeColor="text1"/>
          <w:u w:val="none"/>
          <w:lang w:val="bg-BG"/>
        </w:rPr>
        <w:t xml:space="preserve">, </w:t>
      </w:r>
      <w:r w:rsidRPr="00D7773B">
        <w:rPr>
          <w:rStyle w:val="Hyperlink"/>
          <w:color w:val="000000" w:themeColor="text1"/>
          <w:u w:val="none"/>
        </w:rPr>
        <w:t>Art. 21, 24, 26</w:t>
      </w:r>
      <w:r w:rsidRPr="00D7773B">
        <w:t xml:space="preserve"> </w:t>
      </w:r>
    </w:p>
  </w:footnote>
  <w:footnote w:id="46">
    <w:p w14:paraId="47E93006" w14:textId="6D74471C" w:rsidR="00CD7B2E" w:rsidRPr="00D7773B" w:rsidRDefault="00CD7B2E" w:rsidP="0077131A">
      <w:pPr>
        <w:pStyle w:val="FootnoteText"/>
      </w:pPr>
      <w:r w:rsidRPr="00D7773B">
        <w:rPr>
          <w:rStyle w:val="FootnoteReference"/>
        </w:rPr>
        <w:footnoteRef/>
      </w:r>
      <w:r w:rsidRPr="00D7773B">
        <w:t xml:space="preserve"> Bulgaria, People with Disabilities Act </w:t>
      </w:r>
      <w:r w:rsidRPr="00D7773B">
        <w:rPr>
          <w:i/>
        </w:rPr>
        <w:t>(</w:t>
      </w:r>
      <w:r w:rsidRPr="00D7773B">
        <w:rPr>
          <w:i/>
          <w:lang w:val="bg-BG"/>
        </w:rPr>
        <w:t>Закон за хората с увреждания</w:t>
      </w:r>
      <w:r w:rsidRPr="00D7773B">
        <w:rPr>
          <w:i/>
        </w:rPr>
        <w:t>)</w:t>
      </w:r>
      <w:r w:rsidRPr="00D7773B">
        <w:rPr>
          <w:i/>
          <w:lang w:val="bg-BG"/>
        </w:rPr>
        <w:t xml:space="preserve">, </w:t>
      </w:r>
      <w:r w:rsidRPr="00D7773B">
        <w:rPr>
          <w:lang w:val="bg-BG"/>
        </w:rPr>
        <w:t xml:space="preserve">1 </w:t>
      </w:r>
      <w:r w:rsidRPr="00D7773B">
        <w:t xml:space="preserve">January 2019, </w:t>
      </w:r>
      <w:hyperlink r:id="rId43" w:history="1">
        <w:r w:rsidRPr="00D7773B">
          <w:rPr>
            <w:rStyle w:val="Hyperlink"/>
          </w:rPr>
          <w:t>https://www.lex.bg/bg/laws/ldoc/2137189213</w:t>
        </w:r>
      </w:hyperlink>
      <w:r w:rsidRPr="00D7773B">
        <w:t>, Art. 2-6, Art. 5, para. 1</w:t>
      </w:r>
    </w:p>
  </w:footnote>
  <w:footnote w:id="47">
    <w:p w14:paraId="03B9CFA8" w14:textId="06697BCE" w:rsidR="00CD7B2E" w:rsidRPr="00D7773B" w:rsidRDefault="00CD7B2E" w:rsidP="0077131A">
      <w:pPr>
        <w:pStyle w:val="FootnoteText"/>
      </w:pPr>
      <w:r w:rsidRPr="00D7773B">
        <w:rPr>
          <w:rStyle w:val="FootnoteReference"/>
        </w:rPr>
        <w:footnoteRef/>
      </w:r>
      <w:r w:rsidRPr="00D7773B">
        <w:t xml:space="preserve"> Bulgaria, Protection against Discrimination Act </w:t>
      </w:r>
      <w:r w:rsidRPr="00D7773B">
        <w:rPr>
          <w:i/>
        </w:rPr>
        <w:t>(</w:t>
      </w:r>
      <w:r w:rsidRPr="00D7773B">
        <w:rPr>
          <w:i/>
          <w:lang w:val="bg-BG"/>
        </w:rPr>
        <w:t>Закон за защита от дискриминация</w:t>
      </w:r>
      <w:r w:rsidRPr="00D7773B">
        <w:rPr>
          <w:i/>
        </w:rPr>
        <w:t>)</w:t>
      </w:r>
      <w:r w:rsidRPr="00D7773B">
        <w:rPr>
          <w:lang w:val="bg-BG"/>
        </w:rPr>
        <w:t xml:space="preserve">, 1 </w:t>
      </w:r>
      <w:r w:rsidRPr="00D7773B">
        <w:t xml:space="preserve">January 2004, </w:t>
      </w:r>
      <w:hyperlink r:id="rId44" w:history="1">
        <w:r w:rsidRPr="00D7773B">
          <w:rPr>
            <w:rStyle w:val="Hyperlink"/>
          </w:rPr>
          <w:t>https://www.lex.bg/laws/ldoc/2135472223</w:t>
        </w:r>
      </w:hyperlink>
      <w:r w:rsidRPr="00D7773B">
        <w:t>, Art. 2,4, 5, 6, 7, 16, 32, 35</w:t>
      </w:r>
    </w:p>
  </w:footnote>
  <w:footnote w:id="48">
    <w:p w14:paraId="65DF75B0" w14:textId="3EC81564" w:rsidR="00CD7B2E" w:rsidRPr="00D7773B" w:rsidRDefault="00CD7B2E" w:rsidP="0077131A">
      <w:pPr>
        <w:pStyle w:val="FootnoteText"/>
        <w:rPr>
          <w:lang w:val="bg-BG"/>
        </w:rPr>
      </w:pPr>
      <w:r w:rsidRPr="00D7773B">
        <w:rPr>
          <w:rStyle w:val="FootnoteReference"/>
        </w:rPr>
        <w:footnoteRef/>
      </w:r>
      <w:r w:rsidRPr="00D7773B">
        <w:t xml:space="preserve"> Bulgaria, Child Protection Act</w:t>
      </w:r>
      <w:r w:rsidRPr="00D7773B">
        <w:rPr>
          <w:i/>
        </w:rPr>
        <w:t xml:space="preserve"> (</w:t>
      </w:r>
      <w:r w:rsidRPr="00D7773B">
        <w:rPr>
          <w:i/>
          <w:lang w:val="bg-BG"/>
        </w:rPr>
        <w:t>Закон за закрила на детето)</w:t>
      </w:r>
      <w:r w:rsidRPr="00D7773B">
        <w:t xml:space="preserve">, 13 June 2000, </w:t>
      </w:r>
      <w:hyperlink r:id="rId45" w:history="1">
        <w:r w:rsidRPr="00D7773B">
          <w:rPr>
            <w:rStyle w:val="Hyperlink"/>
          </w:rPr>
          <w:t>https://www.lex.bg/laws/ldoc/2134925825</w:t>
        </w:r>
      </w:hyperlink>
      <w:r w:rsidRPr="00D7773B">
        <w:t>, Art. 4, para. 1, item 12, Art. 36</w:t>
      </w:r>
      <w:r w:rsidRPr="00D7773B">
        <w:rPr>
          <w:lang w:val="bg-BG"/>
        </w:rPr>
        <w:t>в</w:t>
      </w:r>
    </w:p>
  </w:footnote>
  <w:footnote w:id="49">
    <w:p w14:paraId="5A16AAF5" w14:textId="1755867D" w:rsidR="00CD7B2E" w:rsidRPr="00D7773B" w:rsidRDefault="00CD7B2E" w:rsidP="0077131A">
      <w:pPr>
        <w:pStyle w:val="FootnoteText"/>
      </w:pPr>
      <w:r w:rsidRPr="00D7773B">
        <w:rPr>
          <w:rStyle w:val="FootnoteReference"/>
        </w:rPr>
        <w:footnoteRef/>
      </w:r>
      <w:r w:rsidRPr="00D7773B">
        <w:t xml:space="preserve"> Bulgaria, Social Services Act </w:t>
      </w:r>
      <w:r w:rsidRPr="00D7773B">
        <w:rPr>
          <w:i/>
        </w:rPr>
        <w:t>(</w:t>
      </w:r>
      <w:r w:rsidRPr="00D7773B">
        <w:rPr>
          <w:i/>
          <w:lang w:val="bg-BG"/>
        </w:rPr>
        <w:t>Закон за социалните услуги</w:t>
      </w:r>
      <w:r w:rsidRPr="00D7773B">
        <w:rPr>
          <w:i/>
        </w:rPr>
        <w:t>)</w:t>
      </w:r>
      <w:r w:rsidRPr="00D7773B">
        <w:rPr>
          <w:rStyle w:val="Hyperlink"/>
          <w:color w:val="auto"/>
          <w:u w:val="none"/>
        </w:rPr>
        <w:t>, 1 January 2020,</w:t>
      </w:r>
      <w:r w:rsidRPr="00D7773B">
        <w:rPr>
          <w:rStyle w:val="Hyperlink"/>
        </w:rPr>
        <w:t xml:space="preserve"> </w:t>
      </w:r>
      <w:hyperlink r:id="rId46" w:history="1">
        <w:r w:rsidRPr="00D7773B">
          <w:rPr>
            <w:rStyle w:val="Hyperlink"/>
          </w:rPr>
          <w:t>https://www.lex.bg/bg/laws/ldoc/2137191914</w:t>
        </w:r>
      </w:hyperlink>
      <w:r w:rsidRPr="00D7773B">
        <w:rPr>
          <w:lang w:val="bg-BG"/>
        </w:rPr>
        <w:t xml:space="preserve">, </w:t>
      </w:r>
      <w:r w:rsidRPr="00D7773B">
        <w:t>Art. 1, 90, 92, 93, 145</w:t>
      </w:r>
    </w:p>
  </w:footnote>
  <w:footnote w:id="50">
    <w:p w14:paraId="7703F20B" w14:textId="4E98E086" w:rsidR="00CD7B2E" w:rsidRPr="00D7773B" w:rsidRDefault="00CD7B2E" w:rsidP="0077131A">
      <w:pPr>
        <w:pStyle w:val="FootnoteText"/>
      </w:pPr>
      <w:r w:rsidRPr="00D7773B">
        <w:rPr>
          <w:rStyle w:val="FootnoteReference"/>
        </w:rPr>
        <w:footnoteRef/>
      </w:r>
      <w:r w:rsidRPr="00D7773B">
        <w:t xml:space="preserve"> Bulgaria, Labour Code </w:t>
      </w:r>
      <w:r w:rsidRPr="00D7773B">
        <w:rPr>
          <w:i/>
        </w:rPr>
        <w:t>(</w:t>
      </w:r>
      <w:r w:rsidRPr="00D7773B">
        <w:rPr>
          <w:i/>
          <w:lang w:val="bg-BG"/>
        </w:rPr>
        <w:t>Кодекс на труда</w:t>
      </w:r>
      <w:r w:rsidRPr="00D7773B">
        <w:rPr>
          <w:i/>
        </w:rPr>
        <w:t>)</w:t>
      </w:r>
      <w:r w:rsidRPr="00D7773B">
        <w:rPr>
          <w:lang w:val="bg-BG"/>
        </w:rPr>
        <w:t xml:space="preserve">, 1 </w:t>
      </w:r>
      <w:r w:rsidRPr="00D7773B">
        <w:t xml:space="preserve">January 1987, </w:t>
      </w:r>
      <w:hyperlink r:id="rId47" w:history="1">
        <w:r w:rsidRPr="00D7773B">
          <w:rPr>
            <w:rStyle w:val="Hyperlink"/>
          </w:rPr>
          <w:t>https://www.lex.bg/laws/ldoc/1594373121</w:t>
        </w:r>
      </w:hyperlink>
      <w:r w:rsidRPr="00D7773B">
        <w:rPr>
          <w:rStyle w:val="Hyperlink"/>
          <w:color w:val="auto"/>
          <w:u w:val="none"/>
        </w:rPr>
        <w:t>, Art. 8, Art. 325, para. 1, item 9, Art. 316, Art. 319</w:t>
      </w:r>
    </w:p>
  </w:footnote>
  <w:footnote w:id="51">
    <w:p w14:paraId="4B6DBA10" w14:textId="667E4C5D" w:rsidR="00CD7B2E" w:rsidRPr="00D7773B" w:rsidRDefault="00CD7B2E" w:rsidP="0077131A">
      <w:pPr>
        <w:pStyle w:val="FootnoteText"/>
      </w:pPr>
      <w:r w:rsidRPr="00D7773B">
        <w:rPr>
          <w:rStyle w:val="FootnoteReference"/>
        </w:rPr>
        <w:footnoteRef/>
      </w:r>
      <w:r w:rsidRPr="00D7773B">
        <w:t xml:space="preserve"> Bulgaria, Pre-school and School Education Act </w:t>
      </w:r>
      <w:r w:rsidRPr="00D7773B">
        <w:rPr>
          <w:i/>
          <w:iCs/>
        </w:rPr>
        <w:t>(</w:t>
      </w:r>
      <w:r w:rsidRPr="00D7773B">
        <w:rPr>
          <w:i/>
          <w:iCs/>
          <w:lang w:val="bg-BG"/>
        </w:rPr>
        <w:t>Закон за предучилищното и училищното образование</w:t>
      </w:r>
      <w:r w:rsidRPr="00D7773B">
        <w:rPr>
          <w:i/>
          <w:iCs/>
        </w:rPr>
        <w:t>)</w:t>
      </w:r>
      <w:r w:rsidRPr="00D7773B">
        <w:rPr>
          <w:lang w:val="bg-BG"/>
        </w:rPr>
        <w:t xml:space="preserve">, </w:t>
      </w:r>
      <w:r w:rsidRPr="00D7773B">
        <w:t>1 August 2016,</w:t>
      </w:r>
      <w:r w:rsidRPr="00D7773B">
        <w:rPr>
          <w:lang w:val="bg-BG"/>
        </w:rPr>
        <w:t xml:space="preserve"> </w:t>
      </w:r>
      <w:hyperlink r:id="rId48" w:history="1">
        <w:r w:rsidRPr="00D7773B">
          <w:rPr>
            <w:rStyle w:val="Hyperlink"/>
          </w:rPr>
          <w:t>https://lex.bg/bg/laws/ldoc/2136641509</w:t>
        </w:r>
      </w:hyperlink>
      <w:r w:rsidRPr="00D7773B">
        <w:rPr>
          <w:rStyle w:val="Hyperlink"/>
          <w:color w:val="auto"/>
          <w:u w:val="none"/>
          <w:lang w:val="bg-BG"/>
        </w:rPr>
        <w:t xml:space="preserve">, </w:t>
      </w:r>
      <w:r w:rsidRPr="00D7773B">
        <w:rPr>
          <w:rStyle w:val="Hyperlink"/>
          <w:color w:val="auto"/>
          <w:u w:val="none"/>
        </w:rPr>
        <w:t>Art. 5, para. 1, item 9</w:t>
      </w:r>
      <w:r w:rsidRPr="00D7773B">
        <w:rPr>
          <w:rStyle w:val="Hyperlink"/>
          <w:color w:val="auto"/>
          <w:u w:val="none"/>
          <w:lang w:val="bg-BG"/>
        </w:rPr>
        <w:t xml:space="preserve">, </w:t>
      </w:r>
      <w:r w:rsidRPr="00D7773B">
        <w:rPr>
          <w:rStyle w:val="Hyperlink"/>
          <w:color w:val="auto"/>
          <w:u w:val="none"/>
        </w:rPr>
        <w:t>Art. 44 and others</w:t>
      </w:r>
      <w:r w:rsidRPr="00D7773B">
        <w:rPr>
          <w:rStyle w:val="Hyperlink"/>
          <w:color w:val="auto"/>
          <w:u w:val="none"/>
          <w:lang w:val="bg-BG"/>
        </w:rPr>
        <w:t xml:space="preserve">, </w:t>
      </w:r>
      <w:r w:rsidRPr="00D7773B">
        <w:rPr>
          <w:rStyle w:val="Hyperlink"/>
          <w:color w:val="auto"/>
          <w:u w:val="none"/>
        </w:rPr>
        <w:t>Art. 4</w:t>
      </w:r>
      <w:r w:rsidRPr="00D7773B">
        <w:rPr>
          <w:rStyle w:val="Hyperlink"/>
          <w:color w:val="auto"/>
          <w:u w:val="none"/>
          <w:lang w:val="bg-BG"/>
        </w:rPr>
        <w:t>9</w:t>
      </w:r>
      <w:r w:rsidRPr="00D7773B">
        <w:rPr>
          <w:rStyle w:val="Hyperlink"/>
          <w:color w:val="auto"/>
          <w:u w:val="none"/>
        </w:rPr>
        <w:t>, 187</w:t>
      </w:r>
      <w:r w:rsidRPr="00D7773B">
        <w:rPr>
          <w:rStyle w:val="Hyperlink"/>
          <w:color w:val="auto"/>
          <w:u w:val="none"/>
          <w:lang w:val="bg-BG"/>
        </w:rPr>
        <w:t xml:space="preserve"> </w:t>
      </w:r>
      <w:r w:rsidRPr="00D7773B">
        <w:rPr>
          <w:rStyle w:val="Hyperlink"/>
          <w:color w:val="auto"/>
          <w:u w:val="none"/>
        </w:rPr>
        <w:t>and others</w:t>
      </w:r>
      <w:r w:rsidRPr="00D7773B">
        <w:rPr>
          <w:rStyle w:val="Hyperlink"/>
          <w:color w:val="auto"/>
          <w:u w:val="none"/>
          <w:lang w:val="bg-BG"/>
        </w:rPr>
        <w:t xml:space="preserve">, </w:t>
      </w:r>
      <w:r w:rsidRPr="00D7773B">
        <w:rPr>
          <w:rStyle w:val="Hyperlink"/>
          <w:color w:val="auto"/>
          <w:u w:val="none"/>
        </w:rPr>
        <w:t>Art. 200</w:t>
      </w:r>
    </w:p>
  </w:footnote>
  <w:footnote w:id="52">
    <w:p w14:paraId="1F19B541" w14:textId="18A3DCF3" w:rsidR="00CD7B2E" w:rsidRPr="00D7773B" w:rsidRDefault="00CD7B2E" w:rsidP="0077131A">
      <w:pPr>
        <w:pStyle w:val="FootnoteText"/>
        <w:rPr>
          <w:lang w:val="bg-BG"/>
        </w:rPr>
      </w:pPr>
      <w:r w:rsidRPr="00D7773B">
        <w:rPr>
          <w:rStyle w:val="FootnoteReference"/>
        </w:rPr>
        <w:footnoteRef/>
      </w:r>
      <w:r w:rsidRPr="00D7773B">
        <w:t xml:space="preserve"> Bulgaria, Spatial Planning Act </w:t>
      </w:r>
      <w:r w:rsidRPr="00D7773B">
        <w:rPr>
          <w:i/>
        </w:rPr>
        <w:t>(</w:t>
      </w:r>
      <w:r w:rsidRPr="00D7773B">
        <w:rPr>
          <w:i/>
          <w:lang w:val="bg-BG"/>
        </w:rPr>
        <w:t>Закон за устройство на територията</w:t>
      </w:r>
      <w:r w:rsidRPr="00D7773B">
        <w:rPr>
          <w:i/>
        </w:rPr>
        <w:t>)</w:t>
      </w:r>
      <w:r w:rsidRPr="00D7773B">
        <w:rPr>
          <w:lang w:val="bg-BG"/>
        </w:rPr>
        <w:t xml:space="preserve">, 31 </w:t>
      </w:r>
      <w:r w:rsidRPr="00D7773B">
        <w:t xml:space="preserve">March 2001, </w:t>
      </w:r>
      <w:hyperlink r:id="rId49" w:history="1">
        <w:r w:rsidRPr="00D7773B">
          <w:rPr>
            <w:rStyle w:val="Hyperlink"/>
          </w:rPr>
          <w:t>https://www.lex.bg/laws/ldoc/2135163904</w:t>
        </w:r>
      </w:hyperlink>
      <w:r w:rsidRPr="00D7773B">
        <w:rPr>
          <w:rStyle w:val="Hyperlink"/>
          <w:color w:val="auto"/>
          <w:u w:val="none"/>
        </w:rPr>
        <w:t xml:space="preserve">, Art. 75, para. 3, Art. 112, para. 4, Art. 169 and following, explicitly referring to, among others, </w:t>
      </w:r>
      <w:r w:rsidRPr="00D7773B">
        <w:t>Regulation (EU) No 305/2011 of the European Parliament and of the Council of 9 March 2011 laying down harmonised conditions for the marketing of construction products and repealing Council Directive 89/106/EEC</w:t>
      </w:r>
    </w:p>
  </w:footnote>
  <w:footnote w:id="53">
    <w:p w14:paraId="1B4EBA17" w14:textId="2223BCA8" w:rsidR="00CD7B2E" w:rsidRPr="00D7773B" w:rsidRDefault="00CD7B2E" w:rsidP="0077131A">
      <w:pPr>
        <w:pStyle w:val="FootnoteText"/>
        <w:rPr>
          <w:lang w:val="bg-BG"/>
        </w:rPr>
      </w:pPr>
      <w:r w:rsidRPr="00D7773B">
        <w:rPr>
          <w:rStyle w:val="FootnoteReference"/>
        </w:rPr>
        <w:footnoteRef/>
      </w:r>
      <w:r w:rsidRPr="00D7773B">
        <w:rPr>
          <w:lang w:val="bg-BG"/>
        </w:rPr>
        <w:t xml:space="preserve"> </w:t>
      </w:r>
      <w:r w:rsidRPr="00D7773B">
        <w:t>Bulgaria</w:t>
      </w:r>
      <w:r w:rsidRPr="008E576F">
        <w:rPr>
          <w:lang w:val="bg-BG"/>
        </w:rPr>
        <w:t xml:space="preserve">, </w:t>
      </w:r>
      <w:r w:rsidRPr="00D7773B">
        <w:t>Ministry</w:t>
      </w:r>
      <w:r w:rsidRPr="008E576F">
        <w:rPr>
          <w:lang w:val="bg-BG"/>
        </w:rPr>
        <w:t xml:space="preserve"> </w:t>
      </w:r>
      <w:r w:rsidRPr="00D7773B">
        <w:t>of</w:t>
      </w:r>
      <w:r w:rsidRPr="008E576F">
        <w:rPr>
          <w:lang w:val="bg-BG"/>
        </w:rPr>
        <w:t xml:space="preserve"> </w:t>
      </w:r>
      <w:r w:rsidRPr="00D7773B">
        <w:t>Regional</w:t>
      </w:r>
      <w:r w:rsidRPr="008E576F">
        <w:rPr>
          <w:lang w:val="bg-BG"/>
        </w:rPr>
        <w:t xml:space="preserve"> </w:t>
      </w:r>
      <w:r w:rsidRPr="00D7773B">
        <w:t>Development</w:t>
      </w:r>
      <w:r w:rsidRPr="008E576F">
        <w:rPr>
          <w:lang w:val="bg-BG"/>
        </w:rPr>
        <w:t xml:space="preserve"> </w:t>
      </w:r>
      <w:r w:rsidRPr="00D7773B">
        <w:t>and</w:t>
      </w:r>
      <w:r w:rsidRPr="008E576F">
        <w:rPr>
          <w:lang w:val="bg-BG"/>
        </w:rPr>
        <w:t xml:space="preserve"> </w:t>
      </w:r>
      <w:r w:rsidRPr="00D7773B">
        <w:t>Public</w:t>
      </w:r>
      <w:r w:rsidRPr="008E576F">
        <w:rPr>
          <w:lang w:val="bg-BG"/>
        </w:rPr>
        <w:t xml:space="preserve"> </w:t>
      </w:r>
      <w:r w:rsidRPr="00D7773B">
        <w:t>Works</w:t>
      </w:r>
      <w:r w:rsidRPr="008E576F">
        <w:rPr>
          <w:lang w:val="bg-BG"/>
        </w:rPr>
        <w:t xml:space="preserve"> </w:t>
      </w:r>
      <w:r w:rsidRPr="008E576F">
        <w:rPr>
          <w:i/>
          <w:lang w:val="bg-BG"/>
        </w:rPr>
        <w:t>(</w:t>
      </w:r>
      <w:r w:rsidRPr="00D7773B">
        <w:rPr>
          <w:i/>
          <w:lang w:val="bg-BG"/>
        </w:rPr>
        <w:t>Министерство на регионалното развитие и благоустройството</w:t>
      </w:r>
      <w:r w:rsidRPr="008E576F">
        <w:rPr>
          <w:i/>
          <w:lang w:val="bg-BG"/>
        </w:rPr>
        <w:t>)</w:t>
      </w:r>
      <w:r w:rsidRPr="00D7773B">
        <w:rPr>
          <w:lang w:val="bg-BG"/>
        </w:rPr>
        <w:t xml:space="preserve">, </w:t>
      </w:r>
      <w:r w:rsidRPr="00D7773B">
        <w:t>Ordinance</w:t>
      </w:r>
      <w:r w:rsidRPr="008E576F">
        <w:rPr>
          <w:lang w:val="bg-BG"/>
        </w:rPr>
        <w:t xml:space="preserve"> </w:t>
      </w:r>
      <w:r w:rsidRPr="00D7773B">
        <w:t>N</w:t>
      </w:r>
      <w:r w:rsidRPr="008E576F">
        <w:rPr>
          <w:lang w:val="bg-BG"/>
        </w:rPr>
        <w:t xml:space="preserve"> 4 </w:t>
      </w:r>
      <w:r w:rsidRPr="00D7773B">
        <w:t>of</w:t>
      </w:r>
      <w:r w:rsidRPr="008E576F">
        <w:rPr>
          <w:lang w:val="bg-BG"/>
        </w:rPr>
        <w:t xml:space="preserve"> 1 </w:t>
      </w:r>
      <w:r w:rsidRPr="00D7773B">
        <w:t>July</w:t>
      </w:r>
      <w:r w:rsidRPr="008E576F">
        <w:rPr>
          <w:lang w:val="bg-BG"/>
        </w:rPr>
        <w:t xml:space="preserve"> 2009 </w:t>
      </w:r>
      <w:r w:rsidRPr="00D7773B">
        <w:t>for</w:t>
      </w:r>
      <w:r w:rsidRPr="008E576F">
        <w:rPr>
          <w:lang w:val="bg-BG"/>
        </w:rPr>
        <w:t xml:space="preserve"> </w:t>
      </w:r>
      <w:r w:rsidRPr="00D7773B">
        <w:t>design</w:t>
      </w:r>
      <w:r w:rsidRPr="008E576F">
        <w:rPr>
          <w:lang w:val="bg-BG"/>
        </w:rPr>
        <w:t xml:space="preserve">, </w:t>
      </w:r>
      <w:r w:rsidRPr="00D7773B">
        <w:t>execution</w:t>
      </w:r>
      <w:r w:rsidRPr="008E576F">
        <w:rPr>
          <w:lang w:val="bg-BG"/>
        </w:rPr>
        <w:t xml:space="preserve"> </w:t>
      </w:r>
      <w:r w:rsidRPr="00D7773B">
        <w:t>and</w:t>
      </w:r>
      <w:r w:rsidRPr="008E576F">
        <w:rPr>
          <w:lang w:val="bg-BG"/>
        </w:rPr>
        <w:t xml:space="preserve"> </w:t>
      </w:r>
      <w:r w:rsidRPr="00D7773B">
        <w:t>maintenance</w:t>
      </w:r>
      <w:r w:rsidRPr="008E576F">
        <w:rPr>
          <w:lang w:val="bg-BG"/>
        </w:rPr>
        <w:t xml:space="preserve"> </w:t>
      </w:r>
      <w:r w:rsidRPr="00D7773B">
        <w:t>of</w:t>
      </w:r>
      <w:r w:rsidRPr="008E576F">
        <w:rPr>
          <w:lang w:val="bg-BG"/>
        </w:rPr>
        <w:t xml:space="preserve"> </w:t>
      </w:r>
      <w:r w:rsidRPr="00D7773B">
        <w:t>construction</w:t>
      </w:r>
      <w:r w:rsidRPr="008E576F">
        <w:rPr>
          <w:lang w:val="bg-BG"/>
        </w:rPr>
        <w:t xml:space="preserve"> </w:t>
      </w:r>
      <w:r w:rsidRPr="00D7773B">
        <w:t>in</w:t>
      </w:r>
      <w:r w:rsidRPr="008E576F">
        <w:rPr>
          <w:lang w:val="bg-BG"/>
        </w:rPr>
        <w:t xml:space="preserve"> </w:t>
      </w:r>
      <w:r w:rsidRPr="00D7773B">
        <w:t>accordance</w:t>
      </w:r>
      <w:r w:rsidRPr="008E576F">
        <w:rPr>
          <w:lang w:val="bg-BG"/>
        </w:rPr>
        <w:t xml:space="preserve"> </w:t>
      </w:r>
      <w:r w:rsidRPr="00D7773B">
        <w:t>with</w:t>
      </w:r>
      <w:r w:rsidRPr="008E576F">
        <w:rPr>
          <w:lang w:val="bg-BG"/>
        </w:rPr>
        <w:t xml:space="preserve"> </w:t>
      </w:r>
      <w:r w:rsidRPr="00D7773B">
        <w:t>the</w:t>
      </w:r>
      <w:r w:rsidRPr="008E576F">
        <w:rPr>
          <w:lang w:val="bg-BG"/>
        </w:rPr>
        <w:t xml:space="preserve"> </w:t>
      </w:r>
      <w:r w:rsidRPr="00D7773B">
        <w:t>requirements</w:t>
      </w:r>
      <w:r w:rsidRPr="008E576F">
        <w:rPr>
          <w:lang w:val="bg-BG"/>
        </w:rPr>
        <w:t xml:space="preserve"> </w:t>
      </w:r>
      <w:r w:rsidRPr="00D7773B">
        <w:t>for</w:t>
      </w:r>
      <w:r w:rsidRPr="008E576F">
        <w:rPr>
          <w:lang w:val="bg-BG"/>
        </w:rPr>
        <w:t xml:space="preserve"> </w:t>
      </w:r>
      <w:r w:rsidRPr="00D7773B">
        <w:t>accessible</w:t>
      </w:r>
      <w:r w:rsidRPr="008E576F">
        <w:rPr>
          <w:lang w:val="bg-BG"/>
        </w:rPr>
        <w:t xml:space="preserve"> </w:t>
      </w:r>
      <w:r w:rsidRPr="00D7773B">
        <w:t>environment</w:t>
      </w:r>
      <w:r w:rsidRPr="008E576F">
        <w:rPr>
          <w:lang w:val="bg-BG"/>
        </w:rPr>
        <w:t xml:space="preserve">, </w:t>
      </w:r>
      <w:r w:rsidRPr="00D7773B">
        <w:t>including</w:t>
      </w:r>
      <w:r w:rsidRPr="008E576F">
        <w:rPr>
          <w:lang w:val="bg-BG"/>
        </w:rPr>
        <w:t xml:space="preserve"> </w:t>
      </w:r>
      <w:r w:rsidRPr="00D7773B">
        <w:t>for</w:t>
      </w:r>
      <w:r w:rsidRPr="008E576F">
        <w:rPr>
          <w:lang w:val="bg-BG"/>
        </w:rPr>
        <w:t xml:space="preserve"> </w:t>
      </w:r>
      <w:r w:rsidRPr="00D7773B">
        <w:t>persons</w:t>
      </w:r>
      <w:r w:rsidRPr="008E576F">
        <w:rPr>
          <w:lang w:val="bg-BG"/>
        </w:rPr>
        <w:t xml:space="preserve"> </w:t>
      </w:r>
      <w:r w:rsidRPr="00D7773B">
        <w:t>with</w:t>
      </w:r>
      <w:r w:rsidRPr="008E576F">
        <w:rPr>
          <w:lang w:val="bg-BG"/>
        </w:rPr>
        <w:t xml:space="preserve"> </w:t>
      </w:r>
      <w:r w:rsidRPr="00D7773B">
        <w:t>disabilities</w:t>
      </w:r>
      <w:r w:rsidRPr="008E576F">
        <w:rPr>
          <w:lang w:val="bg-BG"/>
        </w:rPr>
        <w:t xml:space="preserve"> </w:t>
      </w:r>
      <w:r w:rsidRPr="00D7773B">
        <w:rPr>
          <w:i/>
          <w:lang w:val="bg-BG"/>
        </w:rPr>
        <w:t>(Наредба № 4 от 1.07.2009 г. за проектиране, изпълнение и поддържане на строежите в съответствие с изискванията за достъпна среда за населението, включително за хората с увреждания)</w:t>
      </w:r>
      <w:r w:rsidRPr="00D7773B">
        <w:rPr>
          <w:lang w:val="bg-BG"/>
        </w:rPr>
        <w:t xml:space="preserve">, </w:t>
      </w:r>
      <w:hyperlink r:id="rId50" w:history="1">
        <w:r w:rsidRPr="00D7773B">
          <w:rPr>
            <w:rStyle w:val="Hyperlink"/>
          </w:rPr>
          <w:t>https</w:t>
        </w:r>
        <w:r w:rsidRPr="00D7773B">
          <w:rPr>
            <w:rStyle w:val="Hyperlink"/>
            <w:lang w:val="bg-BG"/>
          </w:rPr>
          <w:t>://</w:t>
        </w:r>
        <w:r w:rsidRPr="00D7773B">
          <w:rPr>
            <w:rStyle w:val="Hyperlink"/>
          </w:rPr>
          <w:t>www</w:t>
        </w:r>
        <w:r w:rsidRPr="00D7773B">
          <w:rPr>
            <w:rStyle w:val="Hyperlink"/>
            <w:lang w:val="bg-BG"/>
          </w:rPr>
          <w:t>.</w:t>
        </w:r>
        <w:r w:rsidRPr="00D7773B">
          <w:rPr>
            <w:rStyle w:val="Hyperlink"/>
          </w:rPr>
          <w:t>mrrb</w:t>
        </w:r>
        <w:r w:rsidRPr="00D7773B">
          <w:rPr>
            <w:rStyle w:val="Hyperlink"/>
            <w:lang w:val="bg-BG"/>
          </w:rPr>
          <w:t>.</w:t>
        </w:r>
        <w:r w:rsidRPr="00D7773B">
          <w:rPr>
            <w:rStyle w:val="Hyperlink"/>
          </w:rPr>
          <w:t>bg</w:t>
        </w:r>
        <w:r w:rsidRPr="00D7773B">
          <w:rPr>
            <w:rStyle w:val="Hyperlink"/>
            <w:lang w:val="bg-BG"/>
          </w:rPr>
          <w:t>/</w:t>
        </w:r>
        <w:r w:rsidRPr="00D7773B">
          <w:rPr>
            <w:rStyle w:val="Hyperlink"/>
          </w:rPr>
          <w:t>bg</w:t>
        </w:r>
        <w:r w:rsidRPr="00D7773B">
          <w:rPr>
            <w:rStyle w:val="Hyperlink"/>
            <w:lang w:val="bg-BG"/>
          </w:rPr>
          <w:t>/</w:t>
        </w:r>
        <w:r w:rsidRPr="00D7773B">
          <w:rPr>
            <w:rStyle w:val="Hyperlink"/>
          </w:rPr>
          <w:t>naredba</w:t>
        </w:r>
        <w:r w:rsidRPr="00D7773B">
          <w:rPr>
            <w:rStyle w:val="Hyperlink"/>
            <w:lang w:val="bg-BG"/>
          </w:rPr>
          <w:t>-4-</w:t>
        </w:r>
        <w:r w:rsidRPr="00D7773B">
          <w:rPr>
            <w:rStyle w:val="Hyperlink"/>
          </w:rPr>
          <w:t>ot</w:t>
        </w:r>
        <w:r w:rsidRPr="00D7773B">
          <w:rPr>
            <w:rStyle w:val="Hyperlink"/>
            <w:lang w:val="bg-BG"/>
          </w:rPr>
          <w:t>-2009-</w:t>
        </w:r>
        <w:r w:rsidRPr="00D7773B">
          <w:rPr>
            <w:rStyle w:val="Hyperlink"/>
          </w:rPr>
          <w:t>g</w:t>
        </w:r>
        <w:r w:rsidRPr="00D7773B">
          <w:rPr>
            <w:rStyle w:val="Hyperlink"/>
            <w:lang w:val="bg-BG"/>
          </w:rPr>
          <w:t>-</w:t>
        </w:r>
        <w:r w:rsidRPr="00D7773B">
          <w:rPr>
            <w:rStyle w:val="Hyperlink"/>
          </w:rPr>
          <w:t>za</w:t>
        </w:r>
        <w:r w:rsidRPr="00D7773B">
          <w:rPr>
            <w:rStyle w:val="Hyperlink"/>
            <w:lang w:val="bg-BG"/>
          </w:rPr>
          <w:t>-</w:t>
        </w:r>
        <w:r w:rsidRPr="00D7773B">
          <w:rPr>
            <w:rStyle w:val="Hyperlink"/>
          </w:rPr>
          <w:t>proektirane</w:t>
        </w:r>
        <w:r w:rsidRPr="00D7773B">
          <w:rPr>
            <w:rStyle w:val="Hyperlink"/>
            <w:lang w:val="bg-BG"/>
          </w:rPr>
          <w:t>-</w:t>
        </w:r>
        <w:r w:rsidRPr="00D7773B">
          <w:rPr>
            <w:rStyle w:val="Hyperlink"/>
          </w:rPr>
          <w:t>izpulnenie</w:t>
        </w:r>
        <w:r w:rsidRPr="00D7773B">
          <w:rPr>
            <w:rStyle w:val="Hyperlink"/>
            <w:lang w:val="bg-BG"/>
          </w:rPr>
          <w:t>-</w:t>
        </w:r>
        <w:r w:rsidRPr="00D7773B">
          <w:rPr>
            <w:rStyle w:val="Hyperlink"/>
          </w:rPr>
          <w:t>i</w:t>
        </w:r>
        <w:r w:rsidRPr="00D7773B">
          <w:rPr>
            <w:rStyle w:val="Hyperlink"/>
            <w:lang w:val="bg-BG"/>
          </w:rPr>
          <w:t>-</w:t>
        </w:r>
        <w:r w:rsidRPr="00D7773B">
          <w:rPr>
            <w:rStyle w:val="Hyperlink"/>
          </w:rPr>
          <w:t>poddurjane</w:t>
        </w:r>
        <w:r w:rsidRPr="00D7773B">
          <w:rPr>
            <w:rStyle w:val="Hyperlink"/>
            <w:lang w:val="bg-BG"/>
          </w:rPr>
          <w:t>-</w:t>
        </w:r>
        <w:r w:rsidRPr="00D7773B">
          <w:rPr>
            <w:rStyle w:val="Hyperlink"/>
          </w:rPr>
          <w:t>na</w:t>
        </w:r>
        <w:r w:rsidRPr="00D7773B">
          <w:rPr>
            <w:rStyle w:val="Hyperlink"/>
            <w:lang w:val="bg-BG"/>
          </w:rPr>
          <w:t>-</w:t>
        </w:r>
        <w:r w:rsidRPr="00D7773B">
          <w:rPr>
            <w:rStyle w:val="Hyperlink"/>
          </w:rPr>
          <w:t>stroejite</w:t>
        </w:r>
        <w:r w:rsidRPr="00D7773B">
          <w:rPr>
            <w:rStyle w:val="Hyperlink"/>
            <w:lang w:val="bg-BG"/>
          </w:rPr>
          <w:t>-</w:t>
        </w:r>
        <w:r w:rsidRPr="00D7773B">
          <w:rPr>
            <w:rStyle w:val="Hyperlink"/>
          </w:rPr>
          <w:t>v</w:t>
        </w:r>
        <w:r w:rsidRPr="00D7773B">
          <w:rPr>
            <w:rStyle w:val="Hyperlink"/>
            <w:lang w:val="bg-BG"/>
          </w:rPr>
          <w:t>-</w:t>
        </w:r>
        <w:r w:rsidRPr="00D7773B">
          <w:rPr>
            <w:rStyle w:val="Hyperlink"/>
          </w:rPr>
          <w:t>suotvetstvie</w:t>
        </w:r>
        <w:r w:rsidRPr="00D7773B">
          <w:rPr>
            <w:rStyle w:val="Hyperlink"/>
            <w:lang w:val="bg-BG"/>
          </w:rPr>
          <w:t>-</w:t>
        </w:r>
        <w:r w:rsidRPr="00D7773B">
          <w:rPr>
            <w:rStyle w:val="Hyperlink"/>
          </w:rPr>
          <w:t>s</w:t>
        </w:r>
        <w:r w:rsidRPr="00D7773B">
          <w:rPr>
            <w:rStyle w:val="Hyperlink"/>
            <w:lang w:val="bg-BG"/>
          </w:rPr>
          <w:t>-</w:t>
        </w:r>
        <w:r w:rsidRPr="00D7773B">
          <w:rPr>
            <w:rStyle w:val="Hyperlink"/>
          </w:rPr>
          <w:t>iziskvaniyata</w:t>
        </w:r>
        <w:r w:rsidRPr="00D7773B">
          <w:rPr>
            <w:rStyle w:val="Hyperlink"/>
            <w:lang w:val="bg-BG"/>
          </w:rPr>
          <w:t>-</w:t>
        </w:r>
        <w:r w:rsidRPr="00D7773B">
          <w:rPr>
            <w:rStyle w:val="Hyperlink"/>
          </w:rPr>
          <w:t>za</w:t>
        </w:r>
        <w:r w:rsidRPr="00D7773B">
          <w:rPr>
            <w:rStyle w:val="Hyperlink"/>
            <w:lang w:val="bg-BG"/>
          </w:rPr>
          <w:t>-</w:t>
        </w:r>
        <w:r w:rsidRPr="00D7773B">
          <w:rPr>
            <w:rStyle w:val="Hyperlink"/>
          </w:rPr>
          <w:t>dostupna</w:t>
        </w:r>
        <w:r w:rsidRPr="00D7773B">
          <w:rPr>
            <w:rStyle w:val="Hyperlink"/>
            <w:lang w:val="bg-BG"/>
          </w:rPr>
          <w:t>-</w:t>
        </w:r>
        <w:r w:rsidRPr="00D7773B">
          <w:rPr>
            <w:rStyle w:val="Hyperlink"/>
          </w:rPr>
          <w:t>sreda</w:t>
        </w:r>
        <w:r w:rsidRPr="00D7773B">
          <w:rPr>
            <w:rStyle w:val="Hyperlink"/>
            <w:lang w:val="bg-BG"/>
          </w:rPr>
          <w:t>-</w:t>
        </w:r>
        <w:r w:rsidRPr="00D7773B">
          <w:rPr>
            <w:rStyle w:val="Hyperlink"/>
          </w:rPr>
          <w:t>za</w:t>
        </w:r>
        <w:r w:rsidRPr="00D7773B">
          <w:rPr>
            <w:rStyle w:val="Hyperlink"/>
            <w:lang w:val="bg-BG"/>
          </w:rPr>
          <w:t>-</w:t>
        </w:r>
        <w:r w:rsidRPr="00D7773B">
          <w:rPr>
            <w:rStyle w:val="Hyperlink"/>
          </w:rPr>
          <w:t>naselenieto</w:t>
        </w:r>
        <w:r w:rsidRPr="00D7773B">
          <w:rPr>
            <w:rStyle w:val="Hyperlink"/>
            <w:lang w:val="bg-BG"/>
          </w:rPr>
          <w:t>-</w:t>
        </w:r>
        <w:r w:rsidRPr="00D7773B">
          <w:rPr>
            <w:rStyle w:val="Hyperlink"/>
          </w:rPr>
          <w:t>vklyuchitelno</w:t>
        </w:r>
        <w:r w:rsidRPr="00D7773B">
          <w:rPr>
            <w:rStyle w:val="Hyperlink"/>
            <w:lang w:val="bg-BG"/>
          </w:rPr>
          <w:t>-</w:t>
        </w:r>
        <w:r w:rsidRPr="00D7773B">
          <w:rPr>
            <w:rStyle w:val="Hyperlink"/>
          </w:rPr>
          <w:t>za</w:t>
        </w:r>
        <w:r w:rsidRPr="00D7773B">
          <w:rPr>
            <w:rStyle w:val="Hyperlink"/>
            <w:lang w:val="bg-BG"/>
          </w:rPr>
          <w:t>-</w:t>
        </w:r>
        <w:r w:rsidRPr="00D7773B">
          <w:rPr>
            <w:rStyle w:val="Hyperlink"/>
          </w:rPr>
          <w:t>horata</w:t>
        </w:r>
        <w:r w:rsidRPr="00D7773B">
          <w:rPr>
            <w:rStyle w:val="Hyperlink"/>
            <w:lang w:val="bg-BG"/>
          </w:rPr>
          <w:t>-</w:t>
        </w:r>
        <w:r w:rsidRPr="00D7773B">
          <w:rPr>
            <w:rStyle w:val="Hyperlink"/>
          </w:rPr>
          <w:t>s</w:t>
        </w:r>
        <w:r w:rsidRPr="00D7773B">
          <w:rPr>
            <w:rStyle w:val="Hyperlink"/>
            <w:lang w:val="bg-BG"/>
          </w:rPr>
          <w:t>-</w:t>
        </w:r>
        <w:r w:rsidRPr="00D7773B">
          <w:rPr>
            <w:rStyle w:val="Hyperlink"/>
          </w:rPr>
          <w:t>uvrejdaniya</w:t>
        </w:r>
        <w:r w:rsidRPr="00D7773B">
          <w:rPr>
            <w:rStyle w:val="Hyperlink"/>
            <w:lang w:val="bg-BG"/>
          </w:rPr>
          <w:t>-</w:t>
        </w:r>
        <w:r w:rsidRPr="00D7773B">
          <w:rPr>
            <w:rStyle w:val="Hyperlink"/>
          </w:rPr>
          <w:t>dv</w:t>
        </w:r>
        <w:r w:rsidRPr="00D7773B">
          <w:rPr>
            <w:rStyle w:val="Hyperlink"/>
            <w:lang w:val="bg-BG"/>
          </w:rPr>
          <w:t>-</w:t>
        </w:r>
        <w:r w:rsidRPr="00D7773B">
          <w:rPr>
            <w:rStyle w:val="Hyperlink"/>
          </w:rPr>
          <w:t>br</w:t>
        </w:r>
        <w:r w:rsidRPr="00D7773B">
          <w:rPr>
            <w:rStyle w:val="Hyperlink"/>
            <w:lang w:val="bg-BG"/>
          </w:rPr>
          <w:t>-54-</w:t>
        </w:r>
        <w:r w:rsidRPr="00D7773B">
          <w:rPr>
            <w:rStyle w:val="Hyperlink"/>
          </w:rPr>
          <w:t>ot</w:t>
        </w:r>
        <w:r w:rsidRPr="00D7773B">
          <w:rPr>
            <w:rStyle w:val="Hyperlink"/>
            <w:lang w:val="bg-BG"/>
          </w:rPr>
          <w:t>-2009-</w:t>
        </w:r>
        <w:r w:rsidRPr="00D7773B">
          <w:rPr>
            <w:rStyle w:val="Hyperlink"/>
          </w:rPr>
          <w:t>g</w:t>
        </w:r>
        <w:r w:rsidRPr="00D7773B">
          <w:rPr>
            <w:rStyle w:val="Hyperlink"/>
            <w:lang w:val="bg-BG"/>
          </w:rPr>
          <w:t>/</w:t>
        </w:r>
      </w:hyperlink>
    </w:p>
  </w:footnote>
  <w:footnote w:id="54">
    <w:p w14:paraId="29B477DF" w14:textId="5DA9DDDA" w:rsidR="00CD7B2E" w:rsidRPr="00D7773B" w:rsidRDefault="00CD7B2E" w:rsidP="0077131A">
      <w:pPr>
        <w:pStyle w:val="FootnoteText"/>
      </w:pPr>
      <w:r w:rsidRPr="00D7773B">
        <w:rPr>
          <w:rStyle w:val="FootnoteReference"/>
        </w:rPr>
        <w:footnoteRef/>
      </w:r>
      <w:r w:rsidRPr="00D7773B">
        <w:t xml:space="preserve"> Bulgaria, Youth Act </w:t>
      </w:r>
      <w:r w:rsidRPr="00D7773B">
        <w:rPr>
          <w:i/>
        </w:rPr>
        <w:t>(</w:t>
      </w:r>
      <w:r w:rsidRPr="00D7773B">
        <w:rPr>
          <w:i/>
          <w:lang w:val="bg-BG"/>
        </w:rPr>
        <w:t>Закон за младежта</w:t>
      </w:r>
      <w:r w:rsidRPr="00D7773B">
        <w:rPr>
          <w:i/>
        </w:rPr>
        <w:t>)</w:t>
      </w:r>
      <w:r w:rsidRPr="00D7773B">
        <w:rPr>
          <w:i/>
          <w:lang w:val="bg-BG"/>
        </w:rPr>
        <w:t xml:space="preserve">, </w:t>
      </w:r>
      <w:r w:rsidRPr="00D7773B">
        <w:rPr>
          <w:lang w:val="bg-BG"/>
        </w:rPr>
        <w:t xml:space="preserve">20 </w:t>
      </w:r>
      <w:r w:rsidRPr="00D7773B">
        <w:t xml:space="preserve">April 2012, </w:t>
      </w:r>
      <w:hyperlink r:id="rId51" w:history="1">
        <w:r w:rsidRPr="00D7773B">
          <w:rPr>
            <w:rStyle w:val="Hyperlink"/>
          </w:rPr>
          <w:t>https://www.lex.bg/laws/ldoc/2135786802</w:t>
        </w:r>
      </w:hyperlink>
      <w:r w:rsidRPr="00D7773B">
        <w:t>, Art. 2</w:t>
      </w:r>
      <w:r w:rsidRPr="00D7773B">
        <w:rPr>
          <w:lang w:val="bg-BG"/>
        </w:rPr>
        <w:t>, 4</w:t>
      </w:r>
      <w:r w:rsidRPr="00D7773B">
        <w:t xml:space="preserve">, 5, 7, 13 and following, </w:t>
      </w:r>
      <w:r w:rsidRPr="00D7773B">
        <w:rPr>
          <w:lang w:val="bg-BG"/>
        </w:rPr>
        <w:t xml:space="preserve">44 </w:t>
      </w:r>
      <w:r w:rsidRPr="00D7773B">
        <w:t>and following</w:t>
      </w:r>
    </w:p>
  </w:footnote>
  <w:footnote w:id="55">
    <w:p w14:paraId="66E99E3B" w14:textId="51C7B165" w:rsidR="00CD7B2E" w:rsidRPr="00D7773B" w:rsidRDefault="00CD7B2E" w:rsidP="0077131A">
      <w:pPr>
        <w:pStyle w:val="FootnoteText"/>
      </w:pPr>
      <w:r w:rsidRPr="00D7773B">
        <w:rPr>
          <w:rStyle w:val="FootnoteReference"/>
        </w:rPr>
        <w:footnoteRef/>
      </w:r>
      <w:r w:rsidRPr="00D7773B">
        <w:t xml:space="preserve"> Bulgaria, Employment Promotion Act </w:t>
      </w:r>
      <w:r w:rsidRPr="00D7773B">
        <w:rPr>
          <w:i/>
        </w:rPr>
        <w:t>(</w:t>
      </w:r>
      <w:r w:rsidRPr="00D7773B">
        <w:rPr>
          <w:i/>
          <w:lang w:val="bg-BG"/>
        </w:rPr>
        <w:t>Закон за насърчаване на заетостта</w:t>
      </w:r>
      <w:r w:rsidRPr="00D7773B">
        <w:rPr>
          <w:i/>
        </w:rPr>
        <w:t>)</w:t>
      </w:r>
      <w:r w:rsidRPr="00D7773B">
        <w:rPr>
          <w:i/>
          <w:lang w:val="bg-BG"/>
        </w:rPr>
        <w:t xml:space="preserve">, </w:t>
      </w:r>
      <w:r w:rsidRPr="00D7773B">
        <w:rPr>
          <w:lang w:val="bg-BG"/>
        </w:rPr>
        <w:t xml:space="preserve">1 </w:t>
      </w:r>
      <w:r w:rsidRPr="00D7773B">
        <w:t xml:space="preserve">January 2002, </w:t>
      </w:r>
      <w:hyperlink r:id="rId52" w:history="1">
        <w:r w:rsidRPr="00D7773B">
          <w:rPr>
            <w:rStyle w:val="Hyperlink"/>
          </w:rPr>
          <w:t>https://lex.bg/laws/ldoc/-12262909</w:t>
        </w:r>
      </w:hyperlink>
      <w:r w:rsidRPr="00D7773B">
        <w:t xml:space="preserve">, Art. 36 and following, par. 1, item 4a of additional provisions </w:t>
      </w:r>
    </w:p>
  </w:footnote>
  <w:footnote w:id="56">
    <w:p w14:paraId="4CADCE93" w14:textId="331D324D" w:rsidR="00CD7B2E" w:rsidRPr="00D7773B" w:rsidRDefault="00CD7B2E" w:rsidP="0077131A">
      <w:pPr>
        <w:pStyle w:val="FootnoteText"/>
      </w:pPr>
      <w:r w:rsidRPr="00D7773B">
        <w:rPr>
          <w:rStyle w:val="FootnoteReference"/>
        </w:rPr>
        <w:footnoteRef/>
      </w:r>
      <w:r w:rsidRPr="00D7773B">
        <w:t xml:space="preserve"> Bulgaria, Vocational Education and Training Act </w:t>
      </w:r>
      <w:r w:rsidRPr="00D7773B">
        <w:rPr>
          <w:i/>
        </w:rPr>
        <w:t>(Закон за професионалното обр</w:t>
      </w:r>
      <w:r w:rsidRPr="00D7773B">
        <w:rPr>
          <w:i/>
          <w:lang w:val="bg-BG"/>
        </w:rPr>
        <w:t>а</w:t>
      </w:r>
      <w:r w:rsidRPr="00D7773B">
        <w:rPr>
          <w:i/>
        </w:rPr>
        <w:t xml:space="preserve">зование и обучение), </w:t>
      </w:r>
      <w:r w:rsidRPr="00D7773B">
        <w:t xml:space="preserve">30 July 1999, </w:t>
      </w:r>
      <w:hyperlink r:id="rId53" w:history="1">
        <w:r w:rsidRPr="00D7773B">
          <w:rPr>
            <w:rStyle w:val="Hyperlink"/>
          </w:rPr>
          <w:t>https://www.lex.bg/laws/ldoc/2134673921</w:t>
        </w:r>
      </w:hyperlink>
      <w:r w:rsidRPr="00D7773B">
        <w:rPr>
          <w:lang w:val="bg-BG"/>
        </w:rPr>
        <w:t xml:space="preserve">, </w:t>
      </w:r>
      <w:r w:rsidRPr="00D7773B">
        <w:t xml:space="preserve">Art. 11-12 </w:t>
      </w:r>
    </w:p>
  </w:footnote>
  <w:footnote w:id="57">
    <w:p w14:paraId="3F7C7182" w14:textId="6464180C" w:rsidR="00CD7B2E" w:rsidRPr="00D7773B" w:rsidRDefault="00CD7B2E" w:rsidP="0077131A">
      <w:pPr>
        <w:pStyle w:val="FootnoteText"/>
      </w:pPr>
      <w:r w:rsidRPr="00D7773B">
        <w:rPr>
          <w:rStyle w:val="FootnoteReference"/>
        </w:rPr>
        <w:footnoteRef/>
      </w:r>
      <w:r w:rsidRPr="00D7773B">
        <w:t xml:space="preserve"> Bulgaria, Pre-school and School Education Act </w:t>
      </w:r>
      <w:r w:rsidRPr="00D7773B">
        <w:rPr>
          <w:i/>
          <w:iCs/>
        </w:rPr>
        <w:t>(</w:t>
      </w:r>
      <w:r w:rsidRPr="00D7773B">
        <w:rPr>
          <w:i/>
          <w:iCs/>
          <w:lang w:val="bg-BG"/>
        </w:rPr>
        <w:t>Закон за предучилищното и училищното образование</w:t>
      </w:r>
      <w:r w:rsidRPr="00D7773B">
        <w:rPr>
          <w:i/>
          <w:iCs/>
        </w:rPr>
        <w:t>)</w:t>
      </w:r>
      <w:r w:rsidRPr="00D7773B">
        <w:rPr>
          <w:lang w:val="bg-BG"/>
        </w:rPr>
        <w:t xml:space="preserve">, </w:t>
      </w:r>
      <w:r w:rsidRPr="00D7773B">
        <w:t>1 August 2016,</w:t>
      </w:r>
      <w:r w:rsidRPr="00D7773B">
        <w:rPr>
          <w:lang w:val="bg-BG"/>
        </w:rPr>
        <w:t xml:space="preserve"> </w:t>
      </w:r>
      <w:hyperlink r:id="rId54" w:history="1">
        <w:r w:rsidRPr="00D7773B">
          <w:rPr>
            <w:rStyle w:val="Hyperlink"/>
          </w:rPr>
          <w:t>https://lex.bg/bg/laws/ldoc/2136641509</w:t>
        </w:r>
      </w:hyperlink>
      <w:r w:rsidRPr="00D7773B">
        <w:rPr>
          <w:rStyle w:val="Hyperlink"/>
          <w:color w:val="auto"/>
          <w:u w:val="none"/>
          <w:lang w:val="bg-BG"/>
        </w:rPr>
        <w:t xml:space="preserve">, </w:t>
      </w:r>
      <w:r w:rsidRPr="00D7773B">
        <w:rPr>
          <w:rStyle w:val="Hyperlink"/>
          <w:color w:val="auto"/>
          <w:u w:val="none"/>
        </w:rPr>
        <w:t>Art. 42</w:t>
      </w:r>
    </w:p>
  </w:footnote>
  <w:footnote w:id="58">
    <w:p w14:paraId="440DA3BB" w14:textId="212D4BF1" w:rsidR="00CD7B2E" w:rsidRPr="00D7773B" w:rsidRDefault="00CD7B2E" w:rsidP="0077131A">
      <w:pPr>
        <w:pStyle w:val="FootnoteText"/>
      </w:pPr>
      <w:r w:rsidRPr="00D7773B">
        <w:rPr>
          <w:rStyle w:val="FootnoteReference"/>
        </w:rPr>
        <w:footnoteRef/>
      </w:r>
      <w:r w:rsidRPr="00D7773B">
        <w:t xml:space="preserve"> Bulgaria, Constitution of the Republic of Bulgaria (</w:t>
      </w:r>
      <w:r w:rsidRPr="00D7773B">
        <w:rPr>
          <w:i/>
          <w:lang w:val="bg-BG"/>
        </w:rPr>
        <w:t>Конституция на Република България</w:t>
      </w:r>
      <w:r w:rsidRPr="00D7773B">
        <w:t xml:space="preserve">), </w:t>
      </w:r>
      <w:r w:rsidRPr="00D7773B">
        <w:rPr>
          <w:lang w:val="bg-BG"/>
        </w:rPr>
        <w:t>13</w:t>
      </w:r>
      <w:r w:rsidRPr="00D7773B">
        <w:t xml:space="preserve"> July </w:t>
      </w:r>
      <w:r w:rsidRPr="00D7773B">
        <w:rPr>
          <w:lang w:val="bg-BG"/>
        </w:rPr>
        <w:t>1991</w:t>
      </w:r>
      <w:r w:rsidRPr="00D7773B">
        <w:t xml:space="preserve">, </w:t>
      </w:r>
      <w:hyperlink r:id="rId55" w:history="1">
        <w:r w:rsidRPr="00D7773B">
          <w:rPr>
            <w:rStyle w:val="Hyperlink"/>
          </w:rPr>
          <w:t>https://www.lex.bg/laws/ldoc/521957377</w:t>
        </w:r>
      </w:hyperlink>
      <w:r w:rsidRPr="00D7773B">
        <w:rPr>
          <w:rStyle w:val="Hyperlink"/>
          <w:color w:val="000000"/>
          <w:u w:val="none"/>
        </w:rPr>
        <w:t>, Art 51</w:t>
      </w:r>
    </w:p>
  </w:footnote>
  <w:footnote w:id="59">
    <w:p w14:paraId="5A4F2036" w14:textId="01F9EDD0" w:rsidR="00CD7B2E" w:rsidRPr="00D7773B" w:rsidRDefault="00CD7B2E" w:rsidP="0077131A">
      <w:pPr>
        <w:pStyle w:val="FootnoteText"/>
        <w:rPr>
          <w:color w:val="000000"/>
        </w:rPr>
      </w:pPr>
      <w:r w:rsidRPr="00D7773B">
        <w:rPr>
          <w:rStyle w:val="FootnoteReference"/>
        </w:rPr>
        <w:footnoteRef/>
      </w:r>
      <w:r w:rsidRPr="00D7773B">
        <w:t xml:space="preserve"> Bulgaria, Social Services Act</w:t>
      </w:r>
      <w:r w:rsidRPr="00D7773B">
        <w:rPr>
          <w:lang w:val="bg-BG"/>
        </w:rPr>
        <w:t xml:space="preserve"> (</w:t>
      </w:r>
      <w:r w:rsidRPr="00D7773B">
        <w:rPr>
          <w:i/>
        </w:rPr>
        <w:t>Закон за социалните услуги</w:t>
      </w:r>
      <w:r w:rsidRPr="00D7773B">
        <w:rPr>
          <w:lang w:val="bg-BG"/>
        </w:rPr>
        <w:t>),</w:t>
      </w:r>
      <w:r w:rsidRPr="00D7773B">
        <w:t xml:space="preserve"> 1 January 2020, </w:t>
      </w:r>
      <w:hyperlink r:id="rId56" w:history="1">
        <w:r w:rsidRPr="00D7773B">
          <w:rPr>
            <w:rStyle w:val="Hyperlink"/>
          </w:rPr>
          <w:t>https://www.lex.bg/bg/laws/ldoc/2137191914</w:t>
        </w:r>
      </w:hyperlink>
      <w:r w:rsidRPr="00D7773B">
        <w:rPr>
          <w:rStyle w:val="Hyperlink"/>
        </w:rPr>
        <w:t>,</w:t>
      </w:r>
      <w:r w:rsidRPr="00D7773B">
        <w:rPr>
          <w:rStyle w:val="Hyperlink"/>
          <w:u w:val="none"/>
        </w:rPr>
        <w:t xml:space="preserve"> </w:t>
      </w:r>
      <w:r w:rsidRPr="00D7773B">
        <w:rPr>
          <w:rStyle w:val="Hyperlink"/>
          <w:color w:val="000000"/>
          <w:u w:val="none"/>
        </w:rPr>
        <w:t>Art 3 para.1, item 1 and Art 7 para.1</w:t>
      </w:r>
      <w:r w:rsidRPr="00D7773B">
        <w:rPr>
          <w:rStyle w:val="tlid-translation"/>
        </w:rPr>
        <w:t xml:space="preserve"> in relation to §1 item 1 of additional provisions</w:t>
      </w:r>
      <w:r>
        <w:rPr>
          <w:rStyle w:val="tlid-translation"/>
        </w:rPr>
        <w:t>;</w:t>
      </w:r>
      <w:r w:rsidRPr="00D7773B">
        <w:rPr>
          <w:rStyle w:val="Hyperlink"/>
          <w:color w:val="000000"/>
          <w:u w:val="none"/>
        </w:rPr>
        <w:t xml:space="preserve"> Art 14 para. 2, item 6 in relation to </w:t>
      </w:r>
      <w:r w:rsidRPr="00D7773B">
        <w:rPr>
          <w:rStyle w:val="Hyperlink"/>
          <w:color w:val="000000"/>
          <w:u w:val="none"/>
          <w:lang w:val="bg-BG"/>
        </w:rPr>
        <w:t xml:space="preserve">§1 </w:t>
      </w:r>
      <w:r w:rsidRPr="00D7773B">
        <w:rPr>
          <w:rStyle w:val="Hyperlink"/>
          <w:color w:val="000000"/>
          <w:u w:val="none"/>
        </w:rPr>
        <w:t>item 26 of additional provisions</w:t>
      </w:r>
      <w:r w:rsidRPr="00D7773B">
        <w:t>;</w:t>
      </w:r>
      <w:r w:rsidRPr="00D7773B">
        <w:rPr>
          <w:rStyle w:val="Hyperlink"/>
          <w:u w:val="none"/>
          <w:lang w:val="bg-BG"/>
        </w:rPr>
        <w:t xml:space="preserve"> </w:t>
      </w:r>
      <w:r w:rsidRPr="00D7773B">
        <w:rPr>
          <w:rStyle w:val="Hyperlink"/>
          <w:color w:val="000000"/>
          <w:u w:val="none"/>
        </w:rPr>
        <w:t xml:space="preserve">Art 92 para. 1 in relation with §1 item 20 of additional provisions; </w:t>
      </w:r>
    </w:p>
  </w:footnote>
  <w:footnote w:id="60">
    <w:p w14:paraId="1044D705" w14:textId="0ECE5A35" w:rsidR="00CD7B2E" w:rsidRPr="00D7773B" w:rsidRDefault="00CD7B2E" w:rsidP="0077131A">
      <w:pPr>
        <w:pStyle w:val="FootnoteText"/>
      </w:pPr>
      <w:r w:rsidRPr="00D7773B">
        <w:rPr>
          <w:rStyle w:val="FootnoteReference"/>
        </w:rPr>
        <w:footnoteRef/>
      </w:r>
      <w:r w:rsidRPr="00D7773B">
        <w:t xml:space="preserve"> Bulgaria, Employment Promotion Act </w:t>
      </w:r>
      <w:r w:rsidRPr="00890B55">
        <w:rPr>
          <w:i/>
        </w:rPr>
        <w:t>(Закон за насърчаване на заетостта)</w:t>
      </w:r>
      <w:r w:rsidRPr="00D7773B">
        <w:t xml:space="preserve">, 29 December 2001, </w:t>
      </w:r>
      <w:hyperlink r:id="rId57" w:history="1">
        <w:r w:rsidRPr="00D7773B">
          <w:rPr>
            <w:rStyle w:val="Hyperlink"/>
          </w:rPr>
          <w:t>https://lex.bg/laws/ldoc/-12262909</w:t>
        </w:r>
      </w:hyperlink>
      <w:r w:rsidRPr="00D7773B">
        <w:t>, Art 6, para. 1</w:t>
      </w:r>
      <w:r>
        <w:t xml:space="preserve">, </w:t>
      </w:r>
      <w:r w:rsidRPr="00D7773B">
        <w:t>Art 7-13, 14, 16, 30 and following, 55a, 56 para 4-7</w:t>
      </w:r>
      <w:r>
        <w:t xml:space="preserve">, </w:t>
      </w:r>
      <w:r w:rsidRPr="00D7773B">
        <w:rPr>
          <w:rStyle w:val="Hyperlink"/>
          <w:color w:val="000000"/>
          <w:u w:val="none"/>
        </w:rPr>
        <w:t>§1 item 18 of Additional provisions</w:t>
      </w:r>
    </w:p>
  </w:footnote>
  <w:footnote w:id="61">
    <w:p w14:paraId="70366085" w14:textId="5B1758A5" w:rsidR="00CD7B2E" w:rsidRPr="00D7773B" w:rsidRDefault="00CD7B2E" w:rsidP="0077131A">
      <w:pPr>
        <w:pStyle w:val="FootnoteText"/>
      </w:pPr>
      <w:r w:rsidRPr="00D7773B">
        <w:rPr>
          <w:rStyle w:val="FootnoteReference"/>
        </w:rPr>
        <w:footnoteRef/>
      </w:r>
      <w:r w:rsidRPr="00D7773B">
        <w:t xml:space="preserve"> Bulgaria, Social Assistance Act</w:t>
      </w:r>
      <w:r w:rsidRPr="00D7773B">
        <w:rPr>
          <w:b/>
        </w:rPr>
        <w:t xml:space="preserve"> </w:t>
      </w:r>
      <w:r w:rsidRPr="00D7773B">
        <w:t>(</w:t>
      </w:r>
      <w:r w:rsidRPr="00D7773B">
        <w:rPr>
          <w:i/>
          <w:lang w:val="bg-BG"/>
        </w:rPr>
        <w:t>Закон за социално подпомагане</w:t>
      </w:r>
      <w:r w:rsidRPr="00D7773B">
        <w:rPr>
          <w:i/>
        </w:rPr>
        <w:t xml:space="preserve">), </w:t>
      </w:r>
      <w:r w:rsidRPr="00D7773B">
        <w:t>19 May 1998</w:t>
      </w:r>
      <w:r w:rsidRPr="00D7773B">
        <w:rPr>
          <w:i/>
        </w:rPr>
        <w:t xml:space="preserve">,  </w:t>
      </w:r>
      <w:hyperlink r:id="rId58" w:history="1">
        <w:r w:rsidRPr="00D7773B">
          <w:rPr>
            <w:rStyle w:val="Hyperlink"/>
          </w:rPr>
          <w:t>https://lex.bg/laws/ldoc/2134405633</w:t>
        </w:r>
      </w:hyperlink>
      <w:r>
        <w:rPr>
          <w:rStyle w:val="Hyperlink"/>
        </w:rPr>
        <w:t>,</w:t>
      </w:r>
      <w:r w:rsidRPr="00472DA0">
        <w:t xml:space="preserve"> </w:t>
      </w:r>
      <w:r w:rsidRPr="00D7773B">
        <w:t>Art 1, para. 2</w:t>
      </w:r>
      <w:r>
        <w:t>,</w:t>
      </w:r>
      <w:r w:rsidRPr="00472DA0">
        <w:t xml:space="preserve"> </w:t>
      </w:r>
      <w:r>
        <w:t xml:space="preserve">Art. 2, para. 3, </w:t>
      </w:r>
      <w:r w:rsidRPr="00D7773B">
        <w:t>Art 3</w:t>
      </w:r>
    </w:p>
  </w:footnote>
  <w:footnote w:id="62">
    <w:p w14:paraId="53E0C454" w14:textId="77777777" w:rsidR="00CD7B2E" w:rsidRPr="00D7773B" w:rsidRDefault="00CD7B2E" w:rsidP="0077131A">
      <w:pPr>
        <w:pStyle w:val="FootnoteText"/>
      </w:pPr>
      <w:r w:rsidRPr="00D7773B">
        <w:rPr>
          <w:rStyle w:val="FootnoteReference"/>
        </w:rPr>
        <w:footnoteRef/>
      </w:r>
      <w:r w:rsidRPr="00D7773B">
        <w:t xml:space="preserve"> Bulgaria, Social Assistance Act</w:t>
      </w:r>
      <w:r w:rsidRPr="00D7773B">
        <w:rPr>
          <w:b/>
        </w:rPr>
        <w:t xml:space="preserve"> </w:t>
      </w:r>
      <w:r w:rsidRPr="00D7773B">
        <w:t>(</w:t>
      </w:r>
      <w:r w:rsidRPr="00D7773B">
        <w:rPr>
          <w:i/>
          <w:lang w:val="bg-BG"/>
        </w:rPr>
        <w:t>Закон за социално подпомагане</w:t>
      </w:r>
      <w:r w:rsidRPr="00D7773B">
        <w:rPr>
          <w:i/>
        </w:rPr>
        <w:t xml:space="preserve">), </w:t>
      </w:r>
      <w:r w:rsidRPr="00D7773B">
        <w:t>19 May 1998</w:t>
      </w:r>
      <w:r w:rsidRPr="00D7773B">
        <w:rPr>
          <w:i/>
        </w:rPr>
        <w:t xml:space="preserve">,  </w:t>
      </w:r>
      <w:hyperlink r:id="rId59" w:history="1">
        <w:r w:rsidRPr="00D7773B">
          <w:rPr>
            <w:rStyle w:val="Hyperlink"/>
          </w:rPr>
          <w:t>https://lex.bg/laws/ldoc/2134405633</w:t>
        </w:r>
      </w:hyperlink>
    </w:p>
  </w:footnote>
  <w:footnote w:id="63">
    <w:p w14:paraId="1DD6136E" w14:textId="3CC29325" w:rsidR="00CD7B2E" w:rsidRPr="00D7773B" w:rsidRDefault="00CD7B2E" w:rsidP="0077131A">
      <w:pPr>
        <w:pStyle w:val="FootnoteText"/>
        <w:rPr>
          <w:lang w:val="bg-BG"/>
        </w:rPr>
      </w:pPr>
      <w:r w:rsidRPr="00D7773B">
        <w:rPr>
          <w:rStyle w:val="FootnoteReference"/>
        </w:rPr>
        <w:footnoteRef/>
      </w:r>
      <w:r w:rsidRPr="00D7773B">
        <w:t xml:space="preserve"> Bulgaria, Social Services Act</w:t>
      </w:r>
      <w:r w:rsidRPr="00D7773B">
        <w:rPr>
          <w:lang w:val="bg-BG"/>
        </w:rPr>
        <w:t xml:space="preserve"> (</w:t>
      </w:r>
      <w:r w:rsidRPr="00D7773B">
        <w:rPr>
          <w:i/>
        </w:rPr>
        <w:t>Закон за социалните услуги</w:t>
      </w:r>
      <w:r w:rsidRPr="00D7773B">
        <w:rPr>
          <w:lang w:val="bg-BG"/>
        </w:rPr>
        <w:t>),</w:t>
      </w:r>
      <w:r w:rsidRPr="00D7773B">
        <w:t xml:space="preserve"> 1 January 2020</w:t>
      </w:r>
      <w:r>
        <w:rPr>
          <w:lang w:val="bg-BG"/>
        </w:rPr>
        <w:t>,</w:t>
      </w:r>
      <w:r w:rsidRPr="00D7773B">
        <w:t xml:space="preserve"> </w:t>
      </w:r>
      <w:hyperlink r:id="rId60" w:history="1">
        <w:r w:rsidRPr="00D7773B">
          <w:rPr>
            <w:rStyle w:val="Hyperlink"/>
          </w:rPr>
          <w:t>https://www.lex.bg/bg/laws/ldoc/2137191914</w:t>
        </w:r>
      </w:hyperlink>
      <w:r>
        <w:rPr>
          <w:lang w:val="bg-BG"/>
        </w:rPr>
        <w:t xml:space="preserve">, </w:t>
      </w:r>
      <w:r w:rsidRPr="00D7773B">
        <w:t xml:space="preserve">Art 15, item 9,  Art 104, para.1, item 7, </w:t>
      </w:r>
      <w:r>
        <w:t>para. 1, item 16, 31</w:t>
      </w:r>
      <w:r w:rsidRPr="00D7773B">
        <w:t xml:space="preserve"> of </w:t>
      </w:r>
      <w:r>
        <w:t>additional</w:t>
      </w:r>
      <w:r w:rsidRPr="00D7773B">
        <w:t xml:space="preserve"> provisions</w:t>
      </w:r>
    </w:p>
  </w:footnote>
  <w:footnote w:id="64">
    <w:p w14:paraId="0C462F18" w14:textId="0D9022ED" w:rsidR="00CD7B2E" w:rsidRPr="000C0855" w:rsidRDefault="00CD7B2E" w:rsidP="0077131A">
      <w:pPr>
        <w:pStyle w:val="FootnoteText"/>
        <w:rPr>
          <w:i/>
          <w:lang w:val="bg-BG"/>
        </w:rPr>
      </w:pPr>
      <w:r w:rsidRPr="00D7773B">
        <w:rPr>
          <w:rStyle w:val="FootnoteReference"/>
        </w:rPr>
        <w:footnoteRef/>
      </w:r>
      <w:r w:rsidRPr="00D7773B">
        <w:t xml:space="preserve"> Bulgaria, Municipal Property Act </w:t>
      </w:r>
      <w:r w:rsidRPr="00D7773B">
        <w:rPr>
          <w:i/>
        </w:rPr>
        <w:t xml:space="preserve">(Закон за общинската собственост), </w:t>
      </w:r>
      <w:r w:rsidRPr="00D7773B">
        <w:t>1 June</w:t>
      </w:r>
      <w:r w:rsidRPr="00D7773B">
        <w:rPr>
          <w:i/>
        </w:rPr>
        <w:t xml:space="preserve"> </w:t>
      </w:r>
      <w:r w:rsidRPr="00D7773B">
        <w:t>1996,</w:t>
      </w:r>
      <w:r w:rsidRPr="00D7773B">
        <w:rPr>
          <w:i/>
        </w:rPr>
        <w:t xml:space="preserve"> </w:t>
      </w:r>
      <w:hyperlink r:id="rId61" w:history="1">
        <w:r w:rsidRPr="00D7773B">
          <w:rPr>
            <w:rStyle w:val="Hyperlink"/>
          </w:rPr>
          <w:t>https://www.lex.bg/laws/ldoc/2133874691</w:t>
        </w:r>
      </w:hyperlink>
      <w:r w:rsidRPr="00D7773B">
        <w:t xml:space="preserve">, Art </w:t>
      </w:r>
      <w:r w:rsidRPr="00D7773B">
        <w:rPr>
          <w:rStyle w:val="tlid-translation"/>
          <w:lang w:val="en"/>
        </w:rPr>
        <w:t>42, para. 1 item 1</w:t>
      </w:r>
      <w:r w:rsidRPr="00D7773B">
        <w:t xml:space="preserve">, Art 45, </w:t>
      </w:r>
      <w:r w:rsidRPr="00D7773B">
        <w:rPr>
          <w:rStyle w:val="tlid-translation"/>
          <w:lang w:val="en"/>
        </w:rPr>
        <w:t>Art 43, item 1</w:t>
      </w:r>
      <w:r w:rsidRPr="00D7773B">
        <w:rPr>
          <w:rStyle w:val="tlid-translation"/>
          <w:lang w:val="bg-BG"/>
        </w:rPr>
        <w:t xml:space="preserve"> in </w:t>
      </w:r>
      <w:r w:rsidRPr="00D7773B">
        <w:rPr>
          <w:rStyle w:val="tlid-translation"/>
        </w:rPr>
        <w:t>relation with</w:t>
      </w:r>
      <w:r w:rsidRPr="00D7773B">
        <w:rPr>
          <w:rStyle w:val="tlid-translation"/>
          <w:lang w:val="bg-BG"/>
        </w:rPr>
        <w:t xml:space="preserve"> Art 45a</w:t>
      </w:r>
    </w:p>
  </w:footnote>
  <w:footnote w:id="65">
    <w:p w14:paraId="0419ED90" w14:textId="7213A5B0" w:rsidR="00CD7B2E" w:rsidRPr="00F33C29" w:rsidRDefault="00CD7B2E" w:rsidP="0077131A">
      <w:pPr>
        <w:pStyle w:val="FootnoteText"/>
      </w:pPr>
      <w:r w:rsidRPr="00D7773B">
        <w:rPr>
          <w:rStyle w:val="FootnoteReference"/>
        </w:rPr>
        <w:footnoteRef/>
      </w:r>
      <w:r w:rsidRPr="00D7773B">
        <w:t xml:space="preserve"> Bulgaria, </w:t>
      </w:r>
      <w:r>
        <w:t xml:space="preserve">Sofia Municipal Council </w:t>
      </w:r>
      <w:r w:rsidRPr="00824608">
        <w:rPr>
          <w:i/>
        </w:rPr>
        <w:t>(</w:t>
      </w:r>
      <w:r w:rsidRPr="00824608">
        <w:rPr>
          <w:i/>
          <w:lang w:val="bg-BG"/>
        </w:rPr>
        <w:t>Столичен общински съвет</w:t>
      </w:r>
      <w:r w:rsidRPr="00824608">
        <w:rPr>
          <w:i/>
        </w:rPr>
        <w:t>)</w:t>
      </w:r>
      <w:r>
        <w:rPr>
          <w:lang w:val="bg-BG"/>
        </w:rPr>
        <w:t xml:space="preserve"> </w:t>
      </w:r>
      <w:r w:rsidRPr="00D7773B">
        <w:t>Regulation on the management of municipal residential properties in Sofia Municipality (</w:t>
      </w:r>
      <w:r w:rsidRPr="00D7773B">
        <w:rPr>
          <w:i/>
        </w:rPr>
        <w:t>Наредба за реда и условията за управление и разпореждане с общински жилища на територията на Столична община)</w:t>
      </w:r>
      <w:r w:rsidRPr="00D7773B">
        <w:t xml:space="preserve">, 14 July 2005, </w:t>
      </w:r>
      <w:hyperlink r:id="rId62" w:history="1">
        <w:r w:rsidRPr="00D7773B">
          <w:rPr>
            <w:rStyle w:val="Hyperlink"/>
          </w:rPr>
          <w:t>https://www.lex.bg/laws/ldoc/2135530445</w:t>
        </w:r>
      </w:hyperlink>
      <w:r w:rsidRPr="00D7773B">
        <w:t xml:space="preserve">, </w:t>
      </w:r>
      <w:r w:rsidRPr="00D7773B">
        <w:rPr>
          <w:color w:val="000000"/>
        </w:rPr>
        <w:t>Art 2, para. 1</w:t>
      </w:r>
      <w:r w:rsidRPr="00D7773B">
        <w:t>, Art 3, para 1,  items 1 and 4</w:t>
      </w:r>
      <w:r>
        <w:rPr>
          <w:lang w:val="bg-BG"/>
        </w:rPr>
        <w:t xml:space="preserve">, </w:t>
      </w:r>
      <w:r>
        <w:t>Art. 5, Art. 6-16, Art. 17 and following, Art. 28</w:t>
      </w:r>
    </w:p>
  </w:footnote>
  <w:footnote w:id="66">
    <w:p w14:paraId="35B5D868" w14:textId="491EF5F5" w:rsidR="00CD7B2E" w:rsidRPr="00D7773B" w:rsidRDefault="00CD7B2E" w:rsidP="0077131A">
      <w:pPr>
        <w:pStyle w:val="FootnoteText"/>
      </w:pPr>
      <w:r w:rsidRPr="00D7773B">
        <w:rPr>
          <w:rStyle w:val="FootnoteReference"/>
        </w:rPr>
        <w:footnoteRef/>
      </w:r>
      <w:r w:rsidRPr="00D7773B">
        <w:t xml:space="preserve"> Bulgaria, Municipal Council Plovdiv</w:t>
      </w:r>
      <w:r>
        <w:rPr>
          <w:lang w:val="bg-BG"/>
        </w:rPr>
        <w:t xml:space="preserve"> </w:t>
      </w:r>
      <w:r w:rsidRPr="00824608">
        <w:rPr>
          <w:i/>
        </w:rPr>
        <w:t>(</w:t>
      </w:r>
      <w:r w:rsidRPr="00824608">
        <w:rPr>
          <w:i/>
          <w:lang w:val="bg-BG"/>
        </w:rPr>
        <w:t>Пловдивски общински съвет)</w:t>
      </w:r>
      <w:r w:rsidRPr="00D7773B">
        <w:t>, Regulations on the establishment of housing needs, the accommodation in municipal residential properties and their sale</w:t>
      </w:r>
      <w:r w:rsidRPr="00D7773B">
        <w:rPr>
          <w:lang w:val="bg-BG"/>
        </w:rPr>
        <w:t xml:space="preserve">, </w:t>
      </w:r>
      <w:r>
        <w:rPr>
          <w:lang w:val="bg-BG"/>
        </w:rPr>
        <w:t>(</w:t>
      </w:r>
      <w:r w:rsidRPr="00D7773B">
        <w:rPr>
          <w:i/>
        </w:rPr>
        <w:t xml:space="preserve">Наредба за условията и реда за установяване на жилищни нужди, за настаняване в общински жилища и продажбата им), </w:t>
      </w:r>
      <w:r w:rsidRPr="00D7773B">
        <w:t xml:space="preserve">22 March 2005,  </w:t>
      </w:r>
      <w:hyperlink r:id="rId63" w:history="1">
        <w:r w:rsidRPr="00D7773B">
          <w:rPr>
            <w:rStyle w:val="Hyperlink"/>
          </w:rPr>
          <w:t>http://plovdiv.bg/obs/действащи-актове/наредба-за-условията-и-реда-за-установ/</w:t>
        </w:r>
      </w:hyperlink>
      <w:r w:rsidRPr="00D7773B">
        <w:t>, Art 25, para. 1</w:t>
      </w:r>
    </w:p>
  </w:footnote>
  <w:footnote w:id="67">
    <w:p w14:paraId="7A5F3625" w14:textId="77777777" w:rsidR="00CD7B2E" w:rsidRPr="00D7773B" w:rsidRDefault="00CD7B2E" w:rsidP="0077131A">
      <w:pPr>
        <w:pStyle w:val="FootnoteText"/>
      </w:pPr>
      <w:r w:rsidRPr="00D7773B">
        <w:rPr>
          <w:rStyle w:val="FootnoteReference"/>
        </w:rPr>
        <w:footnoteRef/>
      </w:r>
      <w:r w:rsidRPr="00D7773B">
        <w:t xml:space="preserve"> Bulgaria, Protection against Discrimination Act </w:t>
      </w:r>
      <w:r w:rsidRPr="00D7773B">
        <w:rPr>
          <w:i/>
        </w:rPr>
        <w:t>(</w:t>
      </w:r>
      <w:r w:rsidRPr="00D7773B">
        <w:rPr>
          <w:i/>
          <w:lang w:val="bg-BG"/>
        </w:rPr>
        <w:t>Закон за защита от дискриминация</w:t>
      </w:r>
      <w:r w:rsidRPr="00D7773B">
        <w:rPr>
          <w:i/>
        </w:rPr>
        <w:t>)</w:t>
      </w:r>
      <w:r w:rsidRPr="00D7773B">
        <w:rPr>
          <w:lang w:val="bg-BG"/>
        </w:rPr>
        <w:t xml:space="preserve">, 1 </w:t>
      </w:r>
      <w:r w:rsidRPr="00D7773B">
        <w:t xml:space="preserve">January 2004, </w:t>
      </w:r>
      <w:hyperlink r:id="rId64" w:history="1">
        <w:r w:rsidRPr="00D7773B">
          <w:rPr>
            <w:rStyle w:val="Hyperlink"/>
          </w:rPr>
          <w:t>https://www.lex.bg/laws/ldoc/2135472223</w:t>
        </w:r>
      </w:hyperlink>
      <w:r w:rsidRPr="00D7773B">
        <w:t>, Art. 2,4.</w:t>
      </w:r>
    </w:p>
  </w:footnote>
  <w:footnote w:id="68">
    <w:p w14:paraId="54CF6D56" w14:textId="07D71664" w:rsidR="00CD7B2E" w:rsidRPr="00D7773B" w:rsidRDefault="00CD7B2E" w:rsidP="0077131A">
      <w:pPr>
        <w:pStyle w:val="FootnoteText"/>
      </w:pPr>
      <w:r w:rsidRPr="00D7773B">
        <w:rPr>
          <w:rStyle w:val="FootnoteReference"/>
        </w:rPr>
        <w:footnoteRef/>
      </w:r>
      <w:r w:rsidRPr="00D7773B">
        <w:t xml:space="preserve"> Bulgaria, Asylum and Refugees Act (</w:t>
      </w:r>
      <w:r w:rsidRPr="00D7773B">
        <w:rPr>
          <w:i/>
          <w:lang w:val="bg-BG"/>
        </w:rPr>
        <w:t>Закон за убежището и бежанците</w:t>
      </w:r>
      <w:r w:rsidRPr="00D7773B">
        <w:t xml:space="preserve">), </w:t>
      </w:r>
      <w:r w:rsidRPr="00D7773B">
        <w:rPr>
          <w:lang w:val="bg-BG"/>
        </w:rPr>
        <w:t xml:space="preserve">1 </w:t>
      </w:r>
      <w:r w:rsidRPr="00D7773B">
        <w:t xml:space="preserve">December 2002, </w:t>
      </w:r>
      <w:hyperlink r:id="rId65" w:history="1">
        <w:r w:rsidRPr="00D7773B">
          <w:rPr>
            <w:rStyle w:val="Hyperlink"/>
          </w:rPr>
          <w:t>https://lex.bg/laws/ldoc/2135453184</w:t>
        </w:r>
      </w:hyperlink>
      <w:r w:rsidRPr="00D7773B">
        <w:rPr>
          <w:rStyle w:val="Hyperlink"/>
          <w:color w:val="auto"/>
          <w:u w:val="none"/>
        </w:rPr>
        <w:t xml:space="preserve">, Art. 20, Art. 23, para. 2, Art. 24, Art. 25, Art. 26, Art. 29, Art. 32, Art. 34, Art. 37a. The Act refers expressly to the 1951 Refugee Convention and its 1967 Protocol and the overall EU framework on international protection. </w:t>
      </w:r>
      <w:r w:rsidRPr="00D7773B">
        <w:rPr>
          <w:rStyle w:val="Hyperlink"/>
        </w:rPr>
        <w:t xml:space="preserve"> </w:t>
      </w:r>
    </w:p>
  </w:footnote>
  <w:footnote w:id="69">
    <w:p w14:paraId="700B5499" w14:textId="47F90434" w:rsidR="00CD7B2E" w:rsidRPr="00D7773B" w:rsidRDefault="00CD7B2E" w:rsidP="0077131A">
      <w:pPr>
        <w:pStyle w:val="FootnoteText"/>
      </w:pPr>
      <w:r w:rsidRPr="00D7773B">
        <w:rPr>
          <w:rStyle w:val="FootnoteReference"/>
        </w:rPr>
        <w:footnoteRef/>
      </w:r>
      <w:r w:rsidRPr="00D7773B">
        <w:t xml:space="preserve"> Bulgaria, Council of Ministers </w:t>
      </w:r>
      <w:r w:rsidRPr="00D7773B">
        <w:rPr>
          <w:i/>
        </w:rPr>
        <w:t>(</w:t>
      </w:r>
      <w:r w:rsidRPr="00D7773B">
        <w:rPr>
          <w:i/>
          <w:lang w:val="bg-BG"/>
        </w:rPr>
        <w:t>Министерски съвет на Република България</w:t>
      </w:r>
      <w:r w:rsidRPr="00D7773B">
        <w:rPr>
          <w:i/>
        </w:rPr>
        <w:t>)</w:t>
      </w:r>
      <w:r w:rsidRPr="00D7773B">
        <w:rPr>
          <w:lang w:val="bg-BG"/>
        </w:rPr>
        <w:t xml:space="preserve">, </w:t>
      </w:r>
      <w:r w:rsidRPr="00D7773B">
        <w:t xml:space="preserve">Regulation on the conditions and order for concluding, executing and terminating integration agreements with foreigners having received asylum or international protection </w:t>
      </w:r>
      <w:r w:rsidRPr="00D7773B">
        <w:rPr>
          <w:i/>
        </w:rPr>
        <w:t>(Н</w:t>
      </w:r>
      <w:r w:rsidRPr="00D7773B">
        <w:rPr>
          <w:i/>
          <w:lang w:val="bg-BG"/>
        </w:rPr>
        <w:t>аредба за условията и реда за сключване, изпълнение и прекратяване на споразумението за интеграция на чужденците с предоставено убежище и международна закрила</w:t>
      </w:r>
      <w:r w:rsidRPr="00D7773B">
        <w:rPr>
          <w:i/>
        </w:rPr>
        <w:t>)</w:t>
      </w:r>
      <w:r w:rsidRPr="00D7773B">
        <w:t xml:space="preserve">, </w:t>
      </w:r>
      <w:r w:rsidRPr="00D7773B">
        <w:rPr>
          <w:lang w:val="bg-BG"/>
        </w:rPr>
        <w:t xml:space="preserve">25 </w:t>
      </w:r>
      <w:r w:rsidRPr="00D7773B">
        <w:t xml:space="preserve">July 2017, </w:t>
      </w:r>
      <w:hyperlink r:id="rId66" w:history="1">
        <w:r w:rsidRPr="00D7773B">
          <w:rPr>
            <w:rStyle w:val="Hyperlink"/>
          </w:rPr>
          <w:t>https://www.lex.bg/en/laws/ldoc/2137169844</w:t>
        </w:r>
      </w:hyperlink>
      <w:r w:rsidRPr="00D7773B">
        <w:t xml:space="preserve">   </w:t>
      </w:r>
    </w:p>
  </w:footnote>
  <w:footnote w:id="70">
    <w:p w14:paraId="736C5D33" w14:textId="405A3E08" w:rsidR="00CD7B2E" w:rsidRPr="00D7773B" w:rsidRDefault="00CD7B2E" w:rsidP="0077131A">
      <w:pPr>
        <w:pStyle w:val="FootnoteText"/>
      </w:pPr>
      <w:r w:rsidRPr="00D7773B">
        <w:rPr>
          <w:rStyle w:val="FootnoteReference"/>
        </w:rPr>
        <w:footnoteRef/>
      </w:r>
      <w:r w:rsidRPr="00D7773B">
        <w:t xml:space="preserve"> Bulgaria, Foreigners in the Republic of Bulgaria Act (</w:t>
      </w:r>
      <w:r w:rsidRPr="00D7773B">
        <w:rPr>
          <w:i/>
          <w:lang w:val="bg-BG"/>
        </w:rPr>
        <w:t>Закон за чужденците в Република България</w:t>
      </w:r>
      <w:r w:rsidRPr="00D7773B">
        <w:t xml:space="preserve">), </w:t>
      </w:r>
      <w:r w:rsidRPr="00D7773B">
        <w:rPr>
          <w:lang w:val="bg-BG"/>
        </w:rPr>
        <w:t xml:space="preserve">23 </w:t>
      </w:r>
      <w:r w:rsidRPr="00D7773B">
        <w:t xml:space="preserve">December 1998, </w:t>
      </w:r>
      <w:hyperlink r:id="rId67" w:history="1">
        <w:r w:rsidRPr="00D7773B">
          <w:rPr>
            <w:rStyle w:val="Hyperlink"/>
          </w:rPr>
          <w:t>https://lex.bg/laws/ldoc/2134455296</w:t>
        </w:r>
      </w:hyperlink>
      <w:r w:rsidRPr="00D7773B">
        <w:rPr>
          <w:rStyle w:val="Hyperlink"/>
          <w:color w:val="auto"/>
          <w:u w:val="none"/>
        </w:rPr>
        <w:t>, Art. 39 and following</w:t>
      </w:r>
    </w:p>
  </w:footnote>
  <w:footnote w:id="71">
    <w:p w14:paraId="3843C363" w14:textId="3B65BE93" w:rsidR="00CD7B2E" w:rsidRPr="00D7773B" w:rsidRDefault="00CD7B2E" w:rsidP="0077131A">
      <w:pPr>
        <w:pStyle w:val="FootnoteText"/>
      </w:pPr>
      <w:r w:rsidRPr="00D7773B">
        <w:rPr>
          <w:rStyle w:val="FootnoteReference"/>
        </w:rPr>
        <w:footnoteRef/>
      </w:r>
      <w:r w:rsidRPr="00D7773B">
        <w:t xml:space="preserve"> Those centres are further regulated in Bulgaria, Minister of the Interior </w:t>
      </w:r>
      <w:r w:rsidRPr="00D7773B">
        <w:rPr>
          <w:i/>
        </w:rPr>
        <w:t>(</w:t>
      </w:r>
      <w:r w:rsidRPr="00D7773B">
        <w:rPr>
          <w:i/>
          <w:lang w:val="bg-BG"/>
        </w:rPr>
        <w:t>Министър на вътрешните работи</w:t>
      </w:r>
      <w:r w:rsidRPr="00D7773B">
        <w:rPr>
          <w:i/>
        </w:rPr>
        <w:t>)</w:t>
      </w:r>
      <w:r w:rsidRPr="00D7773B">
        <w:rPr>
          <w:lang w:val="bg-BG"/>
        </w:rPr>
        <w:t xml:space="preserve">, </w:t>
      </w:r>
      <w:r w:rsidRPr="00D7773B">
        <w:t xml:space="preserve">Regulation </w:t>
      </w:r>
      <w:r w:rsidRPr="00D7773B">
        <w:rPr>
          <w:lang w:val="bg-BG"/>
        </w:rPr>
        <w:t>№ Із-1201</w:t>
      </w:r>
      <w:r w:rsidRPr="00D7773B">
        <w:t xml:space="preserve"> of 1 June 2010 on the order for temporary placement of foreigners in the special homes for temporary placement of foreigners and in their units and on their organisation and activity</w:t>
      </w:r>
      <w:r w:rsidRPr="00D7773B">
        <w:rPr>
          <w:i/>
        </w:rPr>
        <w:t xml:space="preserve"> (</w:t>
      </w:r>
      <w:r w:rsidRPr="00D7773B">
        <w:rPr>
          <w:i/>
          <w:lang w:val="bg-BG"/>
        </w:rPr>
        <w:t>Наредба № Із-1201</w:t>
      </w:r>
      <w:r w:rsidRPr="00D7773B">
        <w:rPr>
          <w:i/>
        </w:rPr>
        <w:t xml:space="preserve"> </w:t>
      </w:r>
      <w:r w:rsidRPr="00D7773B">
        <w:rPr>
          <w:i/>
          <w:lang w:val="bg-BG"/>
        </w:rPr>
        <w:t>от 1 юни 201</w:t>
      </w:r>
      <w:r w:rsidRPr="00D7773B">
        <w:rPr>
          <w:i/>
        </w:rPr>
        <w:t>0</w:t>
      </w:r>
      <w:r w:rsidRPr="00D7773B">
        <w:rPr>
          <w:i/>
          <w:lang w:val="bg-BG"/>
        </w:rPr>
        <w:t xml:space="preserve"> г. за реда за временно настаняване на чужденци в специалните домове за временно настаняване на чужденци и в техните звена и за организацията и дейността им</w:t>
      </w:r>
      <w:r w:rsidRPr="00D7773B">
        <w:rPr>
          <w:i/>
        </w:rPr>
        <w:t>)</w:t>
      </w:r>
      <w:r w:rsidRPr="00D7773B">
        <w:rPr>
          <w:lang w:val="bg-BG"/>
        </w:rPr>
        <w:t xml:space="preserve">, </w:t>
      </w:r>
      <w:r w:rsidRPr="00D7773B">
        <w:t xml:space="preserve">15 June 2010, </w:t>
      </w:r>
      <w:hyperlink r:id="rId68" w:history="1">
        <w:r w:rsidRPr="00D7773B">
          <w:rPr>
            <w:rStyle w:val="Hyperlink"/>
          </w:rPr>
          <w:t>https://www.lex.bg/bg/laws/ldoc/2135684112</w:t>
        </w:r>
      </w:hyperlink>
      <w:r w:rsidRPr="00D7773B">
        <w:t xml:space="preserve"> </w:t>
      </w:r>
    </w:p>
  </w:footnote>
  <w:footnote w:id="72">
    <w:p w14:paraId="528E5CC7" w14:textId="67631967" w:rsidR="00CD7B2E" w:rsidRPr="00D7773B" w:rsidRDefault="00CD7B2E" w:rsidP="0077131A">
      <w:pPr>
        <w:pStyle w:val="FootnoteText"/>
        <w:rPr>
          <w:lang w:val="bg-BG"/>
        </w:rPr>
      </w:pPr>
      <w:r w:rsidRPr="00D7773B">
        <w:rPr>
          <w:rStyle w:val="FootnoteReference"/>
        </w:rPr>
        <w:footnoteRef/>
      </w:r>
      <w:r w:rsidRPr="00D7773B">
        <w:t xml:space="preserve"> Bulgaria, Labour Migration and Labour Mobility Act (</w:t>
      </w:r>
      <w:r w:rsidRPr="00D7773B">
        <w:rPr>
          <w:i/>
          <w:lang w:val="bg-BG"/>
        </w:rPr>
        <w:t>Закон за трудовата миграция и трудовата мобилност</w:t>
      </w:r>
      <w:r w:rsidRPr="00D7773B">
        <w:t xml:space="preserve">), </w:t>
      </w:r>
      <w:r w:rsidRPr="00D7773B">
        <w:rPr>
          <w:lang w:val="bg-BG"/>
        </w:rPr>
        <w:t xml:space="preserve">21 </w:t>
      </w:r>
      <w:r w:rsidRPr="00D7773B">
        <w:t xml:space="preserve">May 2016, </w:t>
      </w:r>
      <w:hyperlink r:id="rId69" w:history="1">
        <w:r w:rsidRPr="00D7773B">
          <w:rPr>
            <w:rStyle w:val="Hyperlink"/>
          </w:rPr>
          <w:t>https://www.lex.bg/bg/laws/ldoc/2136803084</w:t>
        </w:r>
      </w:hyperlink>
      <w:r w:rsidRPr="00D7773B">
        <w:rPr>
          <w:rStyle w:val="Hyperlink"/>
        </w:rPr>
        <w:t xml:space="preserve">, </w:t>
      </w:r>
      <w:r w:rsidRPr="00D7773B">
        <w:rPr>
          <w:rStyle w:val="Hyperlink"/>
          <w:color w:val="auto"/>
          <w:u w:val="none"/>
        </w:rPr>
        <w:t>Art. 2,</w:t>
      </w:r>
      <w:r w:rsidRPr="00D7773B">
        <w:rPr>
          <w:rStyle w:val="Hyperlink"/>
        </w:rPr>
        <w:t xml:space="preserve"> </w:t>
      </w:r>
      <w:r w:rsidRPr="00D7773B">
        <w:rPr>
          <w:rStyle w:val="Hyperlink"/>
          <w:color w:val="auto"/>
          <w:u w:val="none"/>
        </w:rPr>
        <w:t>Art. 49 and following</w:t>
      </w:r>
    </w:p>
  </w:footnote>
  <w:footnote w:id="73">
    <w:p w14:paraId="6148ED06" w14:textId="77777777" w:rsidR="00CD7B2E" w:rsidRPr="008E576F" w:rsidRDefault="00CD7B2E" w:rsidP="0077131A">
      <w:pPr>
        <w:pStyle w:val="FootnoteText"/>
        <w:rPr>
          <w:lang w:val="fr-FR"/>
        </w:rPr>
      </w:pPr>
      <w:r w:rsidRPr="00D7773B">
        <w:rPr>
          <w:rStyle w:val="FootnoteReference"/>
        </w:rPr>
        <w:footnoteRef/>
      </w:r>
      <w:r w:rsidRPr="008E576F">
        <w:rPr>
          <w:lang w:val="fr-FR"/>
        </w:rPr>
        <w:t xml:space="preserve"> Bulgaria, Criminal Code </w:t>
      </w:r>
      <w:r w:rsidRPr="008E576F">
        <w:rPr>
          <w:i/>
          <w:lang w:val="fr-FR"/>
        </w:rPr>
        <w:t>(</w:t>
      </w:r>
      <w:r w:rsidRPr="00D7773B">
        <w:rPr>
          <w:i/>
          <w:lang w:val="bg-BG"/>
        </w:rPr>
        <w:t>Наказателен кодекс</w:t>
      </w:r>
      <w:r w:rsidRPr="008E576F">
        <w:rPr>
          <w:i/>
          <w:lang w:val="fr-FR"/>
        </w:rPr>
        <w:t xml:space="preserve">), </w:t>
      </w:r>
      <w:r w:rsidRPr="008E576F">
        <w:rPr>
          <w:lang w:val="fr-FR"/>
        </w:rPr>
        <w:t xml:space="preserve">1 May 1968, </w:t>
      </w:r>
      <w:hyperlink r:id="rId70" w:history="1">
        <w:r w:rsidRPr="008E576F">
          <w:rPr>
            <w:rStyle w:val="Hyperlink"/>
            <w:lang w:val="fr-FR"/>
          </w:rPr>
          <w:t>https://lex.bg/laws/ldoc/1589654529</w:t>
        </w:r>
      </w:hyperlink>
      <w:r w:rsidRPr="008E576F">
        <w:rPr>
          <w:lang w:val="fr-FR"/>
        </w:rPr>
        <w:t xml:space="preserve"> </w:t>
      </w:r>
    </w:p>
  </w:footnote>
  <w:footnote w:id="74">
    <w:p w14:paraId="7ACD62C7" w14:textId="7FAB5D17" w:rsidR="00CD7B2E" w:rsidRPr="00D7773B" w:rsidRDefault="00CD7B2E" w:rsidP="0077131A">
      <w:pPr>
        <w:pStyle w:val="FootnoteText"/>
      </w:pPr>
      <w:r w:rsidRPr="00D7773B">
        <w:rPr>
          <w:rStyle w:val="FootnoteReference"/>
        </w:rPr>
        <w:footnoteRef/>
      </w:r>
      <w:r w:rsidRPr="00D7773B">
        <w:t xml:space="preserve"> Bulgaria, Combatting Human Trafficking Act </w:t>
      </w:r>
      <w:r w:rsidRPr="00D7773B">
        <w:rPr>
          <w:i/>
        </w:rPr>
        <w:t>(</w:t>
      </w:r>
      <w:r w:rsidRPr="00D7773B">
        <w:rPr>
          <w:i/>
          <w:lang w:val="bg-BG"/>
        </w:rPr>
        <w:t>Закон за борба с трафика на хора</w:t>
      </w:r>
      <w:r w:rsidRPr="00D7773B">
        <w:rPr>
          <w:i/>
        </w:rPr>
        <w:t>)</w:t>
      </w:r>
      <w:r w:rsidRPr="00D7773B">
        <w:rPr>
          <w:i/>
          <w:lang w:val="bg-BG"/>
        </w:rPr>
        <w:t xml:space="preserve">, </w:t>
      </w:r>
      <w:r w:rsidRPr="00D7773B">
        <w:rPr>
          <w:lang w:val="bg-BG"/>
        </w:rPr>
        <w:t xml:space="preserve">20 </w:t>
      </w:r>
      <w:r w:rsidRPr="00D7773B">
        <w:t xml:space="preserve">May 2003, </w:t>
      </w:r>
      <w:hyperlink r:id="rId71" w:history="1">
        <w:r w:rsidRPr="00D7773B">
          <w:rPr>
            <w:rStyle w:val="Hyperlink"/>
          </w:rPr>
          <w:t>https://www.lex.bg/laws/ldoc/2135467374</w:t>
        </w:r>
      </w:hyperlink>
      <w:r w:rsidRPr="00D7773B">
        <w:t>, Art. 15 and following</w:t>
      </w:r>
    </w:p>
  </w:footnote>
  <w:footnote w:id="75">
    <w:p w14:paraId="2B3A3910" w14:textId="2B13B6D3" w:rsidR="00CD7B2E" w:rsidRPr="00D7773B" w:rsidRDefault="00CD7B2E" w:rsidP="0077131A">
      <w:pPr>
        <w:pStyle w:val="FootnoteText"/>
        <w:rPr>
          <w:lang w:val="bg-BG"/>
        </w:rPr>
      </w:pPr>
      <w:r w:rsidRPr="00D7773B">
        <w:rPr>
          <w:rStyle w:val="FootnoteReference"/>
        </w:rPr>
        <w:footnoteRef/>
      </w:r>
      <w:r w:rsidRPr="00D7773B">
        <w:rPr>
          <w:lang w:val="bg-BG"/>
        </w:rPr>
        <w:t xml:space="preserve"> </w:t>
      </w:r>
      <w:r w:rsidRPr="00D7773B">
        <w:t xml:space="preserve">Bulgaria, Family Code </w:t>
      </w:r>
      <w:r w:rsidRPr="00D7773B">
        <w:rPr>
          <w:i/>
        </w:rPr>
        <w:t>(</w:t>
      </w:r>
      <w:r w:rsidRPr="00D7773B">
        <w:rPr>
          <w:i/>
          <w:lang w:val="bg-BG"/>
        </w:rPr>
        <w:t>Семеен кодекс</w:t>
      </w:r>
      <w:r w:rsidRPr="00D7773B">
        <w:rPr>
          <w:i/>
        </w:rPr>
        <w:t>)</w:t>
      </w:r>
      <w:r w:rsidRPr="00D7773B">
        <w:rPr>
          <w:lang w:val="bg-BG"/>
        </w:rPr>
        <w:t xml:space="preserve">, 1 </w:t>
      </w:r>
      <w:r w:rsidRPr="00D7773B">
        <w:t xml:space="preserve">October 2009, </w:t>
      </w:r>
      <w:hyperlink r:id="rId72" w:history="1">
        <w:r w:rsidRPr="00D7773B">
          <w:rPr>
            <w:rStyle w:val="Hyperlink"/>
          </w:rPr>
          <w:t>https://www.lex.bg/laws/ldoc/2135637484</w:t>
        </w:r>
      </w:hyperlink>
      <w:r w:rsidRPr="00D7773B">
        <w:t>, Art. 74</w:t>
      </w:r>
      <w:r w:rsidRPr="00D7773B">
        <w:rPr>
          <w:lang w:val="bg-BG"/>
        </w:rPr>
        <w:t xml:space="preserve">, </w:t>
      </w:r>
      <w:r w:rsidRPr="00D7773B">
        <w:t xml:space="preserve">122 and following, </w:t>
      </w:r>
      <w:r w:rsidRPr="00D7773B">
        <w:rPr>
          <w:lang w:val="bg-BG"/>
        </w:rPr>
        <w:t xml:space="preserve">139 </w:t>
      </w:r>
      <w:r w:rsidRPr="00D7773B">
        <w:t>and following</w:t>
      </w:r>
    </w:p>
  </w:footnote>
  <w:footnote w:id="76">
    <w:p w14:paraId="4B316E2F" w14:textId="57992D8C" w:rsidR="00CD7B2E" w:rsidRPr="00D7773B" w:rsidRDefault="00CD7B2E" w:rsidP="0077131A">
      <w:pPr>
        <w:pStyle w:val="FootnoteText"/>
      </w:pPr>
      <w:r w:rsidRPr="00D7773B">
        <w:rPr>
          <w:rStyle w:val="FootnoteReference"/>
        </w:rPr>
        <w:footnoteRef/>
      </w:r>
      <w:r w:rsidRPr="00D7773B">
        <w:t xml:space="preserve"> A description of the process is found in contractor’s contributions to the FRA annual reports. </w:t>
      </w:r>
    </w:p>
  </w:footnote>
  <w:footnote w:id="77">
    <w:p w14:paraId="79DC81BB" w14:textId="1509BCBD" w:rsidR="00CD7B2E" w:rsidRPr="00D7773B" w:rsidRDefault="00CD7B2E" w:rsidP="0077131A">
      <w:pPr>
        <w:pStyle w:val="FootnoteText"/>
      </w:pPr>
      <w:r w:rsidRPr="00D7773B">
        <w:rPr>
          <w:rStyle w:val="FootnoteReference"/>
        </w:rPr>
        <w:footnoteRef/>
      </w:r>
      <w:r w:rsidRPr="00D7773B">
        <w:t xml:space="preserve"> Bulgaria, Protection against Domestic Violence Act </w:t>
      </w:r>
      <w:r w:rsidRPr="00D7773B">
        <w:rPr>
          <w:i/>
          <w:iCs/>
        </w:rPr>
        <w:t>(</w:t>
      </w:r>
      <w:r w:rsidRPr="00D7773B">
        <w:rPr>
          <w:i/>
          <w:iCs/>
          <w:lang w:val="bg-BG"/>
        </w:rPr>
        <w:t>Закон за</w:t>
      </w:r>
      <w:r w:rsidRPr="00D7773B">
        <w:rPr>
          <w:i/>
          <w:iCs/>
        </w:rPr>
        <w:t xml:space="preserve"> </w:t>
      </w:r>
      <w:r w:rsidRPr="00D7773B">
        <w:rPr>
          <w:i/>
          <w:iCs/>
          <w:lang w:val="bg-BG"/>
        </w:rPr>
        <w:t>защита от домашното насилие</w:t>
      </w:r>
      <w:r w:rsidRPr="00D7773B">
        <w:rPr>
          <w:i/>
          <w:iCs/>
        </w:rPr>
        <w:t>)</w:t>
      </w:r>
      <w:r w:rsidRPr="00D7773B">
        <w:rPr>
          <w:lang w:val="bg-BG"/>
        </w:rPr>
        <w:t xml:space="preserve">, 29 </w:t>
      </w:r>
      <w:r w:rsidRPr="00D7773B">
        <w:t>March 2005,</w:t>
      </w:r>
      <w:r w:rsidRPr="00D7773B">
        <w:rPr>
          <w:lang w:val="bg-BG"/>
        </w:rPr>
        <w:t xml:space="preserve"> </w:t>
      </w:r>
      <w:hyperlink r:id="rId73" w:history="1">
        <w:r w:rsidRPr="00D7773B">
          <w:rPr>
            <w:rStyle w:val="Hyperlink"/>
          </w:rPr>
          <w:t>https://lex.bg/en/laws/ldoc/2135501151</w:t>
        </w:r>
      </w:hyperlink>
      <w:r w:rsidRPr="00D7773B">
        <w:rPr>
          <w:rStyle w:val="Hyperlink"/>
          <w:color w:val="auto"/>
          <w:u w:val="none"/>
        </w:rPr>
        <w:t>,</w:t>
      </w:r>
      <w:r w:rsidRPr="00D7773B">
        <w:rPr>
          <w:rStyle w:val="Hyperlink"/>
          <w:u w:val="none"/>
        </w:rPr>
        <w:t xml:space="preserve"> </w:t>
      </w:r>
      <w:r w:rsidRPr="00D7773B">
        <w:rPr>
          <w:rStyle w:val="Hyperlink"/>
          <w:color w:val="auto"/>
          <w:u w:val="none"/>
        </w:rPr>
        <w:t>Art. 4 and following</w:t>
      </w:r>
    </w:p>
  </w:footnote>
  <w:footnote w:id="78">
    <w:p w14:paraId="7B97C3C7" w14:textId="5F554599" w:rsidR="00CD7B2E" w:rsidRPr="00D7773B" w:rsidRDefault="00CD7B2E" w:rsidP="0077131A">
      <w:pPr>
        <w:pStyle w:val="FootnoteText"/>
        <w:rPr>
          <w:lang w:val="bg-BG"/>
        </w:rPr>
      </w:pPr>
      <w:r w:rsidRPr="00D7773B">
        <w:rPr>
          <w:rStyle w:val="FootnoteReference"/>
        </w:rPr>
        <w:footnoteRef/>
      </w:r>
      <w:r w:rsidRPr="00D7773B">
        <w:t xml:space="preserve"> Bulgaria, Criminal Procedure Code </w:t>
      </w:r>
      <w:r w:rsidRPr="00D7773B">
        <w:rPr>
          <w:i/>
        </w:rPr>
        <w:t>(</w:t>
      </w:r>
      <w:r w:rsidRPr="00D7773B">
        <w:rPr>
          <w:i/>
          <w:lang w:val="bg-BG"/>
        </w:rPr>
        <w:t>Наказателно-процесуален кодекс</w:t>
      </w:r>
      <w:r w:rsidRPr="00D7773B">
        <w:rPr>
          <w:i/>
        </w:rPr>
        <w:t>)</w:t>
      </w:r>
      <w:r w:rsidRPr="00D7773B">
        <w:rPr>
          <w:lang w:val="bg-BG"/>
        </w:rPr>
        <w:t xml:space="preserve">, 29 </w:t>
      </w:r>
      <w:r w:rsidRPr="00D7773B">
        <w:t xml:space="preserve">April 2006, </w:t>
      </w:r>
      <w:hyperlink r:id="rId74" w:history="1">
        <w:r w:rsidRPr="00D7773B">
          <w:rPr>
            <w:rStyle w:val="Hyperlink"/>
          </w:rPr>
          <w:t>https://www.lex.bg/bg/laws/ldoc/2135512224</w:t>
        </w:r>
      </w:hyperlink>
      <w:r w:rsidRPr="00D7773B">
        <w:t xml:space="preserve">, Art. 75 and others </w:t>
      </w:r>
      <w:r w:rsidRPr="00D7773B">
        <w:rPr>
          <w:lang w:val="bg-BG"/>
        </w:rPr>
        <w:t xml:space="preserve"> </w:t>
      </w:r>
      <w:r w:rsidRPr="00D7773B">
        <w:rPr>
          <w:lang w:val="bg-BG"/>
        </w:rPr>
        <w:tab/>
      </w:r>
    </w:p>
  </w:footnote>
  <w:footnote w:id="79">
    <w:p w14:paraId="2F604DDD" w14:textId="646FC32B" w:rsidR="00CD7B2E" w:rsidRPr="008E576F" w:rsidRDefault="00CD7B2E" w:rsidP="0077131A">
      <w:pPr>
        <w:pStyle w:val="FootnoteText"/>
        <w:rPr>
          <w:lang w:val="bg-BG"/>
        </w:rPr>
      </w:pPr>
      <w:r w:rsidRPr="00D7773B">
        <w:rPr>
          <w:rStyle w:val="FootnoteReference"/>
        </w:rPr>
        <w:footnoteRef/>
      </w:r>
      <w:r w:rsidRPr="008E576F">
        <w:rPr>
          <w:lang w:val="bg-BG"/>
        </w:rPr>
        <w:t xml:space="preserve"> </w:t>
      </w:r>
      <w:r w:rsidRPr="00D7773B">
        <w:t>Bulgaria</w:t>
      </w:r>
      <w:r w:rsidRPr="008E576F">
        <w:rPr>
          <w:lang w:val="bg-BG"/>
        </w:rPr>
        <w:t xml:space="preserve">, </w:t>
      </w:r>
      <w:r w:rsidRPr="00D7773B">
        <w:t>Support</w:t>
      </w:r>
      <w:r w:rsidRPr="008E576F">
        <w:rPr>
          <w:lang w:val="bg-BG"/>
        </w:rPr>
        <w:t xml:space="preserve"> </w:t>
      </w:r>
      <w:r w:rsidRPr="00D7773B">
        <w:t>and</w:t>
      </w:r>
      <w:r w:rsidRPr="008E576F">
        <w:rPr>
          <w:lang w:val="bg-BG"/>
        </w:rPr>
        <w:t xml:space="preserve"> </w:t>
      </w:r>
      <w:r w:rsidRPr="00D7773B">
        <w:t>Financial</w:t>
      </w:r>
      <w:r w:rsidRPr="008E576F">
        <w:rPr>
          <w:lang w:val="bg-BG"/>
        </w:rPr>
        <w:t xml:space="preserve"> </w:t>
      </w:r>
      <w:r w:rsidRPr="00D7773B">
        <w:t>Compensation</w:t>
      </w:r>
      <w:r w:rsidRPr="008E576F">
        <w:rPr>
          <w:lang w:val="bg-BG"/>
        </w:rPr>
        <w:t xml:space="preserve"> </w:t>
      </w:r>
      <w:r w:rsidRPr="00D7773B">
        <w:t>to</w:t>
      </w:r>
      <w:r w:rsidRPr="008E576F">
        <w:rPr>
          <w:lang w:val="bg-BG"/>
        </w:rPr>
        <w:t xml:space="preserve"> </w:t>
      </w:r>
      <w:r w:rsidRPr="00D7773B">
        <w:t>Victims</w:t>
      </w:r>
      <w:r w:rsidRPr="008E576F">
        <w:rPr>
          <w:lang w:val="bg-BG"/>
        </w:rPr>
        <w:t xml:space="preserve"> </w:t>
      </w:r>
      <w:r w:rsidRPr="00D7773B">
        <w:t>of</w:t>
      </w:r>
      <w:r w:rsidRPr="008E576F">
        <w:rPr>
          <w:lang w:val="bg-BG"/>
        </w:rPr>
        <w:t xml:space="preserve"> </w:t>
      </w:r>
      <w:r w:rsidRPr="00D7773B">
        <w:t>Crime</w:t>
      </w:r>
      <w:r w:rsidRPr="008E576F">
        <w:rPr>
          <w:lang w:val="bg-BG"/>
        </w:rPr>
        <w:t xml:space="preserve"> </w:t>
      </w:r>
      <w:r w:rsidRPr="00D7773B">
        <w:t>Act</w:t>
      </w:r>
      <w:r w:rsidRPr="008E576F">
        <w:rPr>
          <w:lang w:val="bg-BG"/>
        </w:rPr>
        <w:t xml:space="preserve"> </w:t>
      </w:r>
      <w:r w:rsidRPr="008E576F">
        <w:rPr>
          <w:i/>
          <w:lang w:val="bg-BG"/>
        </w:rPr>
        <w:t>(</w:t>
      </w:r>
      <w:r w:rsidRPr="00D7773B">
        <w:rPr>
          <w:i/>
          <w:lang w:val="bg-BG"/>
        </w:rPr>
        <w:t>Закон за подпомагане и финансова компенсация на пострадали от престъпления</w:t>
      </w:r>
      <w:r w:rsidRPr="008E576F">
        <w:rPr>
          <w:i/>
          <w:lang w:val="bg-BG"/>
        </w:rPr>
        <w:t xml:space="preserve">), </w:t>
      </w:r>
      <w:r w:rsidRPr="008E576F">
        <w:rPr>
          <w:lang w:val="bg-BG"/>
        </w:rPr>
        <w:t xml:space="preserve">1 </w:t>
      </w:r>
      <w:r w:rsidRPr="00D7773B">
        <w:t>January</w:t>
      </w:r>
      <w:r w:rsidRPr="008E576F">
        <w:rPr>
          <w:lang w:val="bg-BG"/>
        </w:rPr>
        <w:t xml:space="preserve"> 2007, </w:t>
      </w:r>
      <w:hyperlink r:id="rId75" w:history="1">
        <w:r w:rsidRPr="00D7773B">
          <w:rPr>
            <w:rStyle w:val="Hyperlink"/>
          </w:rPr>
          <w:t>https</w:t>
        </w:r>
        <w:r w:rsidRPr="008E576F">
          <w:rPr>
            <w:rStyle w:val="Hyperlink"/>
            <w:lang w:val="bg-BG"/>
          </w:rPr>
          <w:t>://</w:t>
        </w:r>
        <w:r w:rsidRPr="00D7773B">
          <w:rPr>
            <w:rStyle w:val="Hyperlink"/>
          </w:rPr>
          <w:t>www</w:t>
        </w:r>
        <w:r w:rsidRPr="008E576F">
          <w:rPr>
            <w:rStyle w:val="Hyperlink"/>
            <w:lang w:val="bg-BG"/>
          </w:rPr>
          <w:t>.</w:t>
        </w:r>
        <w:r w:rsidRPr="00D7773B">
          <w:rPr>
            <w:rStyle w:val="Hyperlink"/>
          </w:rPr>
          <w:t>lex</w:t>
        </w:r>
        <w:r w:rsidRPr="008E576F">
          <w:rPr>
            <w:rStyle w:val="Hyperlink"/>
            <w:lang w:val="bg-BG"/>
          </w:rPr>
          <w:t>.</w:t>
        </w:r>
        <w:r w:rsidRPr="00D7773B">
          <w:rPr>
            <w:rStyle w:val="Hyperlink"/>
          </w:rPr>
          <w:t>bg</w:t>
        </w:r>
        <w:r w:rsidRPr="008E576F">
          <w:rPr>
            <w:rStyle w:val="Hyperlink"/>
            <w:lang w:val="bg-BG"/>
          </w:rPr>
          <w:t>/</w:t>
        </w:r>
        <w:r w:rsidRPr="00D7773B">
          <w:rPr>
            <w:rStyle w:val="Hyperlink"/>
          </w:rPr>
          <w:t>laws</w:t>
        </w:r>
        <w:r w:rsidRPr="008E576F">
          <w:rPr>
            <w:rStyle w:val="Hyperlink"/>
            <w:lang w:val="bg-BG"/>
          </w:rPr>
          <w:t>/</w:t>
        </w:r>
        <w:r w:rsidRPr="00D7773B">
          <w:rPr>
            <w:rStyle w:val="Hyperlink"/>
          </w:rPr>
          <w:t>ldoc</w:t>
        </w:r>
        <w:r w:rsidRPr="008E576F">
          <w:rPr>
            <w:rStyle w:val="Hyperlink"/>
            <w:lang w:val="bg-BG"/>
          </w:rPr>
          <w:t>/2135540550</w:t>
        </w:r>
      </w:hyperlink>
      <w:r w:rsidRPr="008E576F">
        <w:rPr>
          <w:lang w:val="bg-BG"/>
        </w:rPr>
        <w:t xml:space="preserve"> </w:t>
      </w:r>
    </w:p>
  </w:footnote>
  <w:footnote w:id="80">
    <w:p w14:paraId="5BEAF460" w14:textId="6338663A" w:rsidR="00CD7B2E" w:rsidRPr="00D7773B" w:rsidRDefault="00CD7B2E" w:rsidP="0077131A">
      <w:pPr>
        <w:pStyle w:val="FootnoteText"/>
      </w:pPr>
      <w:r w:rsidRPr="00D7773B">
        <w:rPr>
          <w:rStyle w:val="FootnoteReference"/>
        </w:rPr>
        <w:footnoteRef/>
      </w:r>
      <w:r w:rsidRPr="00D7773B">
        <w:t xml:space="preserve"> Bulgaria, Protection against Discrimination Act </w:t>
      </w:r>
      <w:r w:rsidRPr="00D7773B">
        <w:rPr>
          <w:i/>
        </w:rPr>
        <w:t>(</w:t>
      </w:r>
      <w:r w:rsidRPr="00D7773B">
        <w:rPr>
          <w:i/>
          <w:lang w:val="bg-BG"/>
        </w:rPr>
        <w:t>Закон за защита от дискриминация</w:t>
      </w:r>
      <w:r w:rsidRPr="00D7773B">
        <w:rPr>
          <w:i/>
        </w:rPr>
        <w:t>)</w:t>
      </w:r>
      <w:r w:rsidRPr="00D7773B">
        <w:rPr>
          <w:lang w:val="bg-BG"/>
        </w:rPr>
        <w:t xml:space="preserve">, 1 </w:t>
      </w:r>
      <w:r w:rsidRPr="00D7773B">
        <w:t xml:space="preserve">January 2004, </w:t>
      </w:r>
      <w:hyperlink r:id="rId76" w:history="1">
        <w:r w:rsidRPr="00D7773B">
          <w:rPr>
            <w:rStyle w:val="Hyperlink"/>
          </w:rPr>
          <w:t>https://www.lex.bg/laws/ldoc/2135472223,</w:t>
        </w:r>
        <w:r w:rsidRPr="00D7773B">
          <w:rPr>
            <w:rStyle w:val="Hyperlink"/>
            <w:color w:val="000000" w:themeColor="text1"/>
            <w:u w:val="none"/>
          </w:rPr>
          <w:t xml:space="preserve"> Art 2,4</w:t>
        </w:r>
      </w:hyperlink>
      <w:r w:rsidRPr="00D7773B">
        <w:t xml:space="preserve"> in connection with para. 1, item 10 of the additional provisions</w:t>
      </w:r>
    </w:p>
  </w:footnote>
  <w:footnote w:id="81">
    <w:p w14:paraId="0E154A28" w14:textId="70CDFACD" w:rsidR="00CD7B2E" w:rsidRPr="00596035" w:rsidRDefault="00CD7B2E" w:rsidP="0077131A">
      <w:pPr>
        <w:pStyle w:val="FootnoteText"/>
        <w:rPr>
          <w:lang w:val="bg-BG"/>
        </w:rPr>
      </w:pPr>
      <w:r w:rsidRPr="00D7773B">
        <w:rPr>
          <w:rStyle w:val="FootnoteReference"/>
        </w:rPr>
        <w:footnoteRef/>
      </w:r>
      <w:r w:rsidRPr="00D7773B">
        <w:t xml:space="preserve"> Bulgaria, Constitution of the Republic of Bulgaria (</w:t>
      </w:r>
      <w:r w:rsidRPr="00D7773B">
        <w:rPr>
          <w:i/>
          <w:lang w:val="bg-BG"/>
        </w:rPr>
        <w:t>Конституция на Република България</w:t>
      </w:r>
      <w:r w:rsidRPr="00D7773B">
        <w:t xml:space="preserve">), </w:t>
      </w:r>
      <w:r w:rsidRPr="00D7773B">
        <w:rPr>
          <w:lang w:val="bg-BG"/>
        </w:rPr>
        <w:t>13</w:t>
      </w:r>
      <w:r w:rsidRPr="00D7773B">
        <w:t xml:space="preserve"> July </w:t>
      </w:r>
      <w:r w:rsidRPr="00D7773B">
        <w:rPr>
          <w:lang w:val="bg-BG"/>
        </w:rPr>
        <w:t>1991</w:t>
      </w:r>
      <w:r w:rsidRPr="00D7773B">
        <w:t xml:space="preserve">, </w:t>
      </w:r>
      <w:hyperlink r:id="rId77" w:history="1">
        <w:r w:rsidRPr="00D7773B">
          <w:rPr>
            <w:rStyle w:val="Hyperlink"/>
          </w:rPr>
          <w:t>https://www.lex.bg/laws/ldoc/521957377</w:t>
        </w:r>
      </w:hyperlink>
      <w:r w:rsidRPr="00D7773B">
        <w:rPr>
          <w:rStyle w:val="Hyperlink"/>
          <w:color w:val="000000" w:themeColor="text1"/>
          <w:u w:val="none"/>
        </w:rPr>
        <w:t>, Art. 46</w:t>
      </w:r>
    </w:p>
  </w:footnote>
  <w:footnote w:id="82">
    <w:p w14:paraId="3211B9B0" w14:textId="77777777" w:rsidR="00CD7B2E" w:rsidRPr="00D7773B" w:rsidRDefault="00CD7B2E" w:rsidP="0077131A">
      <w:pPr>
        <w:pStyle w:val="FootnoteText"/>
        <w:rPr>
          <w:lang w:val="bg-BG"/>
        </w:rPr>
      </w:pPr>
      <w:r w:rsidRPr="00D7773B">
        <w:rPr>
          <w:rStyle w:val="FootnoteReference"/>
        </w:rPr>
        <w:footnoteRef/>
      </w:r>
      <w:r w:rsidRPr="00D7773B">
        <w:t xml:space="preserve"> Bulgaria, Family Code (</w:t>
      </w:r>
      <w:r w:rsidRPr="00D7773B">
        <w:rPr>
          <w:i/>
          <w:lang w:val="bg-BG"/>
        </w:rPr>
        <w:t>Семеен кодекс</w:t>
      </w:r>
      <w:r w:rsidRPr="00D7773B">
        <w:t xml:space="preserve">), </w:t>
      </w:r>
      <w:r w:rsidRPr="00D7773B">
        <w:rPr>
          <w:lang w:val="bg-BG"/>
        </w:rPr>
        <w:t xml:space="preserve">1 </w:t>
      </w:r>
      <w:r w:rsidRPr="00D7773B">
        <w:t xml:space="preserve">October 2009, </w:t>
      </w:r>
      <w:r w:rsidRPr="00D7773B">
        <w:rPr>
          <w:rStyle w:val="Hyperlink"/>
        </w:rPr>
        <w:t>https://www.lex.bg/laws/ldoc/2135637484</w:t>
      </w:r>
      <w:r w:rsidRPr="00D7773B">
        <w:rPr>
          <w:rStyle w:val="Hyperlink"/>
          <w:color w:val="000000" w:themeColor="text1"/>
          <w:u w:val="none"/>
        </w:rPr>
        <w:t>, Art. 5</w:t>
      </w:r>
    </w:p>
  </w:footnote>
  <w:footnote w:id="83">
    <w:p w14:paraId="1E04757F" w14:textId="6E496A3C" w:rsidR="00CD7B2E" w:rsidRPr="00D7773B" w:rsidRDefault="00CD7B2E" w:rsidP="0077131A">
      <w:pPr>
        <w:pStyle w:val="FootnoteText"/>
      </w:pPr>
      <w:r w:rsidRPr="00D7773B">
        <w:rPr>
          <w:rStyle w:val="FootnoteReference"/>
        </w:rPr>
        <w:footnoteRef/>
      </w:r>
      <w:r w:rsidRPr="00D7773B">
        <w:t xml:space="preserve"> Hristev, H., Lyubenova, D. and Dragoeva, L. (2019) </w:t>
      </w:r>
      <w:r w:rsidRPr="00D7773B">
        <w:rPr>
          <w:i/>
        </w:rPr>
        <w:t>Free movement of European Union citizens – Rights and challenges to same-sex families in the Republic of Bulgaria</w:t>
      </w:r>
      <w:r w:rsidRPr="00D7773B">
        <w:t>, Sofia, Youth LGBT Organization Deystvie, p. 58-61</w:t>
      </w:r>
    </w:p>
  </w:footnote>
  <w:footnote w:id="84">
    <w:p w14:paraId="5ABFB63E" w14:textId="3A77E016" w:rsidR="00CD7B2E" w:rsidRPr="00D7773B" w:rsidRDefault="00CD7B2E" w:rsidP="0077131A">
      <w:pPr>
        <w:pStyle w:val="FootnoteText"/>
        <w:rPr>
          <w:lang w:val="bg-BG"/>
        </w:rPr>
      </w:pPr>
      <w:r w:rsidRPr="00D7773B">
        <w:rPr>
          <w:rStyle w:val="FootnoteReference"/>
        </w:rPr>
        <w:footnoteRef/>
      </w:r>
      <w:r w:rsidRPr="00D7773B">
        <w:t xml:space="preserve"> There is a very recent breakthrough, where a Bulgarian court recognised a same-sex marriage in another EU Member State for the purposes of the couple’s free movement: Bulgaria, Supreme Administrative Court (</w:t>
      </w:r>
      <w:r w:rsidRPr="00D7773B">
        <w:rPr>
          <w:i/>
          <w:lang w:val="bg-BG"/>
        </w:rPr>
        <w:t>Върховен административен съд</w:t>
      </w:r>
      <w:r w:rsidRPr="00D7773B">
        <w:t>), Decision No 11351</w:t>
      </w:r>
      <w:r w:rsidRPr="00D7773B">
        <w:rPr>
          <w:lang w:val="bg-BG"/>
        </w:rPr>
        <w:t xml:space="preserve"> </w:t>
      </w:r>
      <w:r w:rsidRPr="00D7773B">
        <w:t>of 24 July 2019 (</w:t>
      </w:r>
      <w:r w:rsidRPr="00D7773B">
        <w:rPr>
          <w:i/>
          <w:lang w:val="bg-BG"/>
        </w:rPr>
        <w:t>Решение № 11351 София, 24.07.2019</w:t>
      </w:r>
      <w:r w:rsidRPr="00D7773B">
        <w:rPr>
          <w:i/>
        </w:rPr>
        <w:t>)</w:t>
      </w:r>
      <w:r w:rsidRPr="00D7773B">
        <w:t xml:space="preserve">, </w:t>
      </w:r>
      <w:r w:rsidRPr="00D7773B">
        <w:rPr>
          <w:lang w:val="bg-BG"/>
        </w:rPr>
        <w:t xml:space="preserve">24 </w:t>
      </w:r>
      <w:r w:rsidRPr="00D7773B">
        <w:t xml:space="preserve">July 2019, </w:t>
      </w:r>
      <w:hyperlink r:id="rId78" w:history="1">
        <w:r w:rsidRPr="00D7773B">
          <w:rPr>
            <w:rStyle w:val="Hyperlink"/>
          </w:rPr>
          <w:t>http://www.sac.government.bg/court22.nsf/d038edcf49190344c2256b7600367606/6d39ed781f2f38dfc2258417003e30c7?OpenDocument</w:t>
        </w:r>
      </w:hyperlink>
      <w:r w:rsidRPr="00D7773B">
        <w:rPr>
          <w:rStyle w:val="Hyperlink"/>
          <w:lang w:val="bg-BG"/>
        </w:rPr>
        <w:t xml:space="preserve"> </w:t>
      </w:r>
    </w:p>
  </w:footnote>
  <w:footnote w:id="85">
    <w:p w14:paraId="66B57AD5" w14:textId="799BF15F" w:rsidR="00CD7B2E" w:rsidRPr="006F59A6" w:rsidRDefault="00CD7B2E" w:rsidP="0077131A">
      <w:pPr>
        <w:pStyle w:val="FootnoteText"/>
        <w:rPr>
          <w:lang w:val="bg-BG"/>
        </w:rPr>
      </w:pPr>
      <w:r w:rsidRPr="00D7773B">
        <w:rPr>
          <w:rStyle w:val="FootnoteReference"/>
        </w:rPr>
        <w:footnoteRef/>
      </w:r>
      <w:r w:rsidRPr="00D7773B">
        <w:t xml:space="preserve"> Bulgaria, Energy Act (</w:t>
      </w:r>
      <w:r w:rsidRPr="00D7773B">
        <w:rPr>
          <w:i/>
          <w:lang w:val="bg-BG"/>
        </w:rPr>
        <w:t>Закон за енергетиката</w:t>
      </w:r>
      <w:r w:rsidRPr="00D7773B">
        <w:rPr>
          <w:lang w:val="bg-BG"/>
        </w:rPr>
        <w:t xml:space="preserve">), </w:t>
      </w:r>
      <w:r w:rsidRPr="00D7773B">
        <w:t xml:space="preserve">9 December 2003, </w:t>
      </w:r>
      <w:hyperlink r:id="rId79" w:history="1">
        <w:r w:rsidRPr="00D7773B">
          <w:rPr>
            <w:rStyle w:val="Hyperlink"/>
          </w:rPr>
          <w:t>https://lex.bg/laws/ldoc/2135475623</w:t>
        </w:r>
      </w:hyperlink>
      <w:r w:rsidRPr="006F59A6">
        <w:rPr>
          <w:rStyle w:val="Hyperlink"/>
          <w:color w:val="000000" w:themeColor="text1"/>
          <w:u w:val="none"/>
        </w:rPr>
        <w:t>, Art. 38</w:t>
      </w:r>
      <w:r w:rsidRPr="006F59A6">
        <w:rPr>
          <w:rStyle w:val="Hyperlink"/>
          <w:color w:val="000000" w:themeColor="text1"/>
          <w:u w:val="none"/>
          <w:lang w:val="bg-BG"/>
        </w:rPr>
        <w:t>д</w:t>
      </w:r>
    </w:p>
  </w:footnote>
  <w:footnote w:id="86">
    <w:p w14:paraId="46633972" w14:textId="0017EAC3" w:rsidR="00CD7B2E" w:rsidRPr="000D6BF6" w:rsidRDefault="00CD7B2E" w:rsidP="0077131A">
      <w:pPr>
        <w:pStyle w:val="FootnoteText"/>
      </w:pPr>
      <w:r w:rsidRPr="00D7773B">
        <w:rPr>
          <w:rStyle w:val="FootnoteReference"/>
        </w:rPr>
        <w:footnoteRef/>
      </w:r>
      <w:r w:rsidRPr="00D7773B">
        <w:t xml:space="preserve"> Bulgaria, Energy Efficiency Act (</w:t>
      </w:r>
      <w:r w:rsidRPr="00D7773B">
        <w:rPr>
          <w:i/>
          <w:lang w:val="bg-BG"/>
        </w:rPr>
        <w:t>Закон за енергийната ефективност</w:t>
      </w:r>
      <w:r w:rsidRPr="00D7773B">
        <w:rPr>
          <w:lang w:val="bg-BG"/>
        </w:rPr>
        <w:t xml:space="preserve">), 15 May 2015, </w:t>
      </w:r>
      <w:hyperlink r:id="rId80" w:history="1">
        <w:r w:rsidRPr="00D7773B">
          <w:rPr>
            <w:rStyle w:val="Hyperlink"/>
          </w:rPr>
          <w:t>https://www.lex.bg/en/laws/ldoc/2136500695</w:t>
        </w:r>
      </w:hyperlink>
      <w:r w:rsidRPr="000D6BF6">
        <w:rPr>
          <w:rStyle w:val="Hyperlink"/>
          <w:color w:val="000000" w:themeColor="text1"/>
          <w:u w:val="none"/>
          <w:lang w:val="bg-BG"/>
        </w:rPr>
        <w:t xml:space="preserve">, </w:t>
      </w:r>
      <w:r w:rsidRPr="000D6BF6">
        <w:rPr>
          <w:rStyle w:val="Hyperlink"/>
          <w:color w:val="000000" w:themeColor="text1"/>
          <w:u w:val="none"/>
        </w:rPr>
        <w:t>Art. 25</w:t>
      </w:r>
    </w:p>
  </w:footnote>
  <w:footnote w:id="87">
    <w:p w14:paraId="61EC0B91" w14:textId="3BC46E7A" w:rsidR="00CD7B2E" w:rsidRPr="000607AD" w:rsidRDefault="00CD7B2E" w:rsidP="0077131A">
      <w:pPr>
        <w:pStyle w:val="FootnoteText"/>
      </w:pPr>
      <w:r w:rsidRPr="00D7773B">
        <w:rPr>
          <w:rStyle w:val="FootnoteReference"/>
        </w:rPr>
        <w:footnoteRef/>
      </w:r>
      <w:r w:rsidRPr="00D7773B">
        <w:t xml:space="preserve"> Bulgaria, Social Assistance Act</w:t>
      </w:r>
      <w:r w:rsidRPr="00D7773B">
        <w:rPr>
          <w:b/>
        </w:rPr>
        <w:t xml:space="preserve"> </w:t>
      </w:r>
      <w:r w:rsidRPr="00D7773B">
        <w:t>(</w:t>
      </w:r>
      <w:r w:rsidRPr="00D7773B">
        <w:rPr>
          <w:i/>
          <w:lang w:val="bg-BG"/>
        </w:rPr>
        <w:t>Закон за социално подпомагане</w:t>
      </w:r>
      <w:r w:rsidRPr="00D7773B">
        <w:rPr>
          <w:i/>
        </w:rPr>
        <w:t xml:space="preserve">), </w:t>
      </w:r>
      <w:r w:rsidRPr="00D7773B">
        <w:t>19 May 1998</w:t>
      </w:r>
      <w:r w:rsidRPr="00D7773B">
        <w:rPr>
          <w:i/>
        </w:rPr>
        <w:t xml:space="preserve">,  </w:t>
      </w:r>
      <w:hyperlink r:id="rId81" w:history="1">
        <w:r w:rsidRPr="00D7773B">
          <w:rPr>
            <w:rStyle w:val="Hyperlink"/>
          </w:rPr>
          <w:t>https://lex.bg/laws/ldoc/2134405633</w:t>
        </w:r>
      </w:hyperlink>
      <w:r w:rsidRPr="000607AD">
        <w:rPr>
          <w:rStyle w:val="Hyperlink"/>
          <w:color w:val="000000" w:themeColor="text1"/>
          <w:u w:val="none"/>
          <w:lang w:val="bg-BG"/>
        </w:rPr>
        <w:t xml:space="preserve">, </w:t>
      </w:r>
      <w:r w:rsidRPr="000607AD">
        <w:rPr>
          <w:rStyle w:val="Hyperlink"/>
          <w:color w:val="000000" w:themeColor="text1"/>
          <w:u w:val="none"/>
        </w:rPr>
        <w:t>Art. 12, para. 4</w:t>
      </w:r>
    </w:p>
  </w:footnote>
  <w:footnote w:id="88">
    <w:p w14:paraId="33E96916" w14:textId="56D8CADE" w:rsidR="00CD7B2E" w:rsidRPr="00D7773B" w:rsidRDefault="00CD7B2E" w:rsidP="0077131A">
      <w:pPr>
        <w:pStyle w:val="FootnoteText"/>
      </w:pPr>
      <w:r w:rsidRPr="00D7773B">
        <w:rPr>
          <w:rStyle w:val="FootnoteReference"/>
        </w:rPr>
        <w:footnoteRef/>
      </w:r>
      <w:r w:rsidRPr="00D7773B">
        <w:t xml:space="preserve"> Bulgaria,</w:t>
      </w:r>
      <w:r w:rsidRPr="00D7773B">
        <w:rPr>
          <w:lang w:val="bg-BG"/>
        </w:rPr>
        <w:t xml:space="preserve"> Minister of Labor and Social Policy</w:t>
      </w:r>
      <w:r>
        <w:t xml:space="preserve"> </w:t>
      </w:r>
      <w:r w:rsidRPr="00285266">
        <w:rPr>
          <w:i/>
        </w:rPr>
        <w:t>(</w:t>
      </w:r>
      <w:r w:rsidRPr="00285266">
        <w:rPr>
          <w:i/>
          <w:lang w:val="bg-BG"/>
        </w:rPr>
        <w:t>Министър на труда и социалната политика</w:t>
      </w:r>
      <w:r w:rsidRPr="00285266">
        <w:rPr>
          <w:i/>
        </w:rPr>
        <w:t>)</w:t>
      </w:r>
      <w:r w:rsidRPr="00D7773B">
        <w:rPr>
          <w:lang w:val="bg-BG"/>
        </w:rPr>
        <w:t xml:space="preserve">, Regulation N RD -07-5 of 16 May 2008 on the terms and conditions for </w:t>
      </w:r>
      <w:r>
        <w:t>targeted social benefits for heating</w:t>
      </w:r>
      <w:r w:rsidRPr="00D7773B">
        <w:rPr>
          <w:lang w:val="bg-BG"/>
        </w:rPr>
        <w:t xml:space="preserve"> (</w:t>
      </w:r>
      <w:r w:rsidRPr="00D7773B">
        <w:rPr>
          <w:i/>
          <w:lang w:val="bg-BG"/>
        </w:rPr>
        <w:t>Наредба № РД-07-5 от 16 май 2008 г. За условията и реда за отпускане на целева помощ за отопление</w:t>
      </w:r>
      <w:r w:rsidRPr="00D7773B">
        <w:rPr>
          <w:lang w:val="bg-BG"/>
        </w:rPr>
        <w:t>)</w:t>
      </w:r>
      <w:r w:rsidRPr="00D7773B">
        <w:t xml:space="preserve">,  27 May 2008, </w:t>
      </w:r>
      <w:hyperlink r:id="rId82" w:history="1">
        <w:r w:rsidRPr="00D7773B">
          <w:rPr>
            <w:rStyle w:val="Hyperlink"/>
          </w:rPr>
          <w:t>https://www.lex.bg/laws/ldoc/2135588875</w:t>
        </w:r>
      </w:hyperlink>
    </w:p>
  </w:footnote>
  <w:footnote w:id="89">
    <w:p w14:paraId="34AAB558" w14:textId="1A734751" w:rsidR="00CD7B2E" w:rsidRPr="00440317" w:rsidRDefault="00CD7B2E" w:rsidP="0077131A">
      <w:pPr>
        <w:pStyle w:val="FootnoteText"/>
      </w:pPr>
      <w:r>
        <w:rPr>
          <w:rStyle w:val="FootnoteReference"/>
        </w:rPr>
        <w:footnoteRef/>
      </w:r>
      <w:r>
        <w:t xml:space="preserve"> </w:t>
      </w:r>
      <w:r w:rsidRPr="00D7773B">
        <w:t>Bulgaria, Labor</w:t>
      </w:r>
      <w:r w:rsidRPr="00D7773B">
        <w:rPr>
          <w:lang w:val="ru-RU"/>
        </w:rPr>
        <w:t xml:space="preserve"> </w:t>
      </w:r>
      <w:r w:rsidRPr="00D7773B">
        <w:t>Code</w:t>
      </w:r>
      <w:r w:rsidRPr="00D7773B">
        <w:rPr>
          <w:lang w:val="ru-RU"/>
        </w:rPr>
        <w:t xml:space="preserve"> (</w:t>
      </w:r>
      <w:r w:rsidRPr="00D7773B">
        <w:rPr>
          <w:i/>
          <w:lang w:val="bg-BG"/>
        </w:rPr>
        <w:t>Кодекс на труда</w:t>
      </w:r>
      <w:r w:rsidRPr="00D7773B">
        <w:rPr>
          <w:lang w:val="ru-RU"/>
        </w:rPr>
        <w:t>)</w:t>
      </w:r>
      <w:r w:rsidRPr="00D7773B">
        <w:t xml:space="preserve">, </w:t>
      </w:r>
      <w:r>
        <w:t xml:space="preserve">1 January 1987, </w:t>
      </w:r>
      <w:hyperlink r:id="rId83" w:history="1">
        <w:r w:rsidRPr="003A5A7C">
          <w:rPr>
            <w:rStyle w:val="Hyperlink"/>
          </w:rPr>
          <w:t>https://www.lex.bg/laws/ldoc/1594373121</w:t>
        </w:r>
      </w:hyperlink>
      <w:r w:rsidRPr="00D7773B">
        <w:t>, Art</w:t>
      </w:r>
      <w:r>
        <w:t xml:space="preserve"> 63, Art 68, Art </w:t>
      </w:r>
      <w:r w:rsidRPr="00D7773B">
        <w:t xml:space="preserve">124, Art 128, </w:t>
      </w:r>
      <w:r>
        <w:t xml:space="preserve">Art 143 and following, </w:t>
      </w:r>
      <w:r w:rsidRPr="00D7773B">
        <w:t xml:space="preserve">Art </w:t>
      </w:r>
      <w:r>
        <w:t>399 and following</w:t>
      </w:r>
    </w:p>
  </w:footnote>
  <w:footnote w:id="90">
    <w:p w14:paraId="26C1D4E7" w14:textId="62552EF6" w:rsidR="00CD7B2E" w:rsidRPr="00FE0D99" w:rsidRDefault="00CD7B2E" w:rsidP="0077131A">
      <w:pPr>
        <w:pStyle w:val="FootnoteText"/>
      </w:pPr>
      <w:r>
        <w:rPr>
          <w:rStyle w:val="FootnoteReference"/>
        </w:rPr>
        <w:footnoteRef/>
      </w:r>
      <w:r>
        <w:t xml:space="preserve"> </w:t>
      </w:r>
      <w:r w:rsidRPr="00D7773B">
        <w:t xml:space="preserve">Bulgaria, </w:t>
      </w:r>
      <w:r w:rsidRPr="00D7773B">
        <w:rPr>
          <w:rFonts w:eastAsia="Times New Roman"/>
        </w:rPr>
        <w:t>Tax Insurance Procedure Code (</w:t>
      </w:r>
      <w:r w:rsidRPr="00D7773B">
        <w:rPr>
          <w:rFonts w:eastAsia="Times New Roman"/>
          <w:i/>
          <w:lang w:val="bg-BG"/>
        </w:rPr>
        <w:t>Данъчно-осигурителен процесуален кодекс</w:t>
      </w:r>
      <w:r w:rsidRPr="00D7773B">
        <w:rPr>
          <w:rFonts w:eastAsia="Times New Roman"/>
          <w:lang w:val="bg-BG"/>
        </w:rPr>
        <w:t>)</w:t>
      </w:r>
      <w:r w:rsidRPr="00D7773B">
        <w:rPr>
          <w:rFonts w:eastAsia="Times New Roman"/>
        </w:rPr>
        <w:t xml:space="preserve">, 1 January 2006,  </w:t>
      </w:r>
      <w:hyperlink r:id="rId84" w:history="1">
        <w:r w:rsidRPr="00D7773B">
          <w:rPr>
            <w:rStyle w:val="Hyperlink"/>
            <w:rFonts w:eastAsia="Times New Roman"/>
          </w:rPr>
          <w:t>https://www.lex.bg/laws/ldoc/2135514513</w:t>
        </w:r>
      </w:hyperlink>
      <w:r w:rsidRPr="00D7773B">
        <w:rPr>
          <w:rFonts w:eastAsia="Times New Roman"/>
        </w:rPr>
        <w:t xml:space="preserve">, Art </w:t>
      </w:r>
      <w:r>
        <w:rPr>
          <w:rFonts w:eastAsia="Times New Roman"/>
        </w:rPr>
        <w:t>110 and following</w:t>
      </w:r>
    </w:p>
  </w:footnote>
  <w:footnote w:id="91">
    <w:p w14:paraId="4BB9AA74" w14:textId="44FB0E34" w:rsidR="00CD7B2E" w:rsidRPr="00FE0D99" w:rsidRDefault="00CD7B2E" w:rsidP="0077131A">
      <w:pPr>
        <w:pStyle w:val="FootnoteText"/>
      </w:pPr>
      <w:r>
        <w:rPr>
          <w:rStyle w:val="FootnoteReference"/>
        </w:rPr>
        <w:footnoteRef/>
      </w:r>
      <w:r>
        <w:t xml:space="preserve"> </w:t>
      </w:r>
      <w:r w:rsidRPr="00D7773B">
        <w:t>Bulgaria, Social Security Code (</w:t>
      </w:r>
      <w:r w:rsidRPr="00D7773B">
        <w:rPr>
          <w:i/>
          <w:lang w:val="bg-BG"/>
        </w:rPr>
        <w:t>Кодекс за социално осигуряване</w:t>
      </w:r>
      <w:r w:rsidRPr="00D7773B">
        <w:rPr>
          <w:i/>
        </w:rPr>
        <w:t>),</w:t>
      </w:r>
      <w:r w:rsidRPr="00D7773B">
        <w:t xml:space="preserve"> 1 January 2000, </w:t>
      </w:r>
      <w:hyperlink r:id="rId85" w:history="1">
        <w:r w:rsidRPr="00D7773B">
          <w:rPr>
            <w:rStyle w:val="Hyperlink"/>
          </w:rPr>
          <w:t>https://www.lex.bg/laws/ldoc/1597824512</w:t>
        </w:r>
      </w:hyperlink>
      <w:r>
        <w:t xml:space="preserve">, </w:t>
      </w:r>
      <w:r w:rsidRPr="00D7773B">
        <w:t>Art 5 para.4</w:t>
      </w:r>
      <w:r>
        <w:t>,</w:t>
      </w:r>
      <w:r w:rsidRPr="00D7773B">
        <w:t xml:space="preserve"> Art 355</w:t>
      </w:r>
    </w:p>
  </w:footnote>
  <w:footnote w:id="92">
    <w:p w14:paraId="601E2626" w14:textId="7C8764BF" w:rsidR="00CD7B2E" w:rsidRPr="00785B0C" w:rsidRDefault="00CD7B2E" w:rsidP="0077131A">
      <w:pPr>
        <w:pStyle w:val="FootnoteText"/>
      </w:pPr>
      <w:r>
        <w:rPr>
          <w:rStyle w:val="FootnoteReference"/>
        </w:rPr>
        <w:footnoteRef/>
      </w:r>
      <w:r>
        <w:t xml:space="preserve"> </w:t>
      </w:r>
      <w:r w:rsidRPr="00D7773B">
        <w:t>Bulgaria, Income Tax on Natural Persons Act (</w:t>
      </w:r>
      <w:r w:rsidRPr="00D7773B">
        <w:rPr>
          <w:i/>
          <w:lang w:val="bg-BG"/>
        </w:rPr>
        <w:t>Закон за данъците върху доходите на физическите лица</w:t>
      </w:r>
      <w:r w:rsidRPr="00D7773B">
        <w:t>),</w:t>
      </w:r>
      <w:r>
        <w:t xml:space="preserve"> 1 January 2007,</w:t>
      </w:r>
      <w:r w:rsidRPr="00D7773B">
        <w:t xml:space="preserve"> </w:t>
      </w:r>
      <w:hyperlink r:id="rId86" w:history="1">
        <w:r w:rsidRPr="00D7773B">
          <w:rPr>
            <w:rStyle w:val="Hyperlink"/>
          </w:rPr>
          <w:t>https://www.lex.bg/laws/ldoc/2135538631</w:t>
        </w:r>
      </w:hyperlink>
      <w:r w:rsidRPr="00D7773B">
        <w:t>, Art 80a</w:t>
      </w:r>
    </w:p>
  </w:footnote>
  <w:footnote w:id="93">
    <w:p w14:paraId="5CDCF71A" w14:textId="0AE6A89B" w:rsidR="00CD7B2E" w:rsidRPr="00C92DD3" w:rsidRDefault="00CD7B2E" w:rsidP="0077131A">
      <w:pPr>
        <w:pStyle w:val="FootnoteText"/>
        <w:rPr>
          <w:lang w:val="bg-BG"/>
        </w:rPr>
      </w:pPr>
      <w:r>
        <w:rPr>
          <w:rStyle w:val="FootnoteReference"/>
        </w:rPr>
        <w:footnoteRef/>
      </w:r>
      <w:r>
        <w:t xml:space="preserve"> </w:t>
      </w:r>
      <w:r w:rsidRPr="00D7773B">
        <w:t xml:space="preserve">Bulgaria, Employment Promotion Act </w:t>
      </w:r>
      <w:r w:rsidRPr="00D7773B">
        <w:rPr>
          <w:i/>
        </w:rPr>
        <w:t>(</w:t>
      </w:r>
      <w:r w:rsidRPr="00D7773B">
        <w:rPr>
          <w:i/>
          <w:lang w:val="bg-BG"/>
        </w:rPr>
        <w:t>Закон за насърчаване на заетостта</w:t>
      </w:r>
      <w:r w:rsidRPr="00D7773B">
        <w:rPr>
          <w:i/>
        </w:rPr>
        <w:t>)</w:t>
      </w:r>
      <w:r w:rsidRPr="00D7773B">
        <w:rPr>
          <w:i/>
          <w:lang w:val="bg-BG"/>
        </w:rPr>
        <w:t xml:space="preserve">, </w:t>
      </w:r>
      <w:r w:rsidRPr="00D7773B">
        <w:rPr>
          <w:lang w:val="bg-BG"/>
        </w:rPr>
        <w:t xml:space="preserve">1 </w:t>
      </w:r>
      <w:r w:rsidRPr="00D7773B">
        <w:t xml:space="preserve">January 2002, </w:t>
      </w:r>
      <w:hyperlink r:id="rId87" w:history="1">
        <w:r w:rsidRPr="00D7773B">
          <w:rPr>
            <w:rStyle w:val="Hyperlink"/>
          </w:rPr>
          <w:t>https://lex.bg/laws/ldoc/-12262909</w:t>
        </w:r>
      </w:hyperlink>
    </w:p>
  </w:footnote>
  <w:footnote w:id="94">
    <w:p w14:paraId="63AE747D" w14:textId="6E53ED7C" w:rsidR="00CD7B2E" w:rsidRPr="00D7773B" w:rsidRDefault="00CD7B2E" w:rsidP="0077131A">
      <w:pPr>
        <w:pStyle w:val="FootnoteText"/>
        <w:rPr>
          <w:lang w:val="bg-BG"/>
        </w:rPr>
      </w:pPr>
      <w:r w:rsidRPr="00D7773B">
        <w:rPr>
          <w:rStyle w:val="FootnoteReference"/>
        </w:rPr>
        <w:footnoteRef/>
      </w:r>
      <w:r w:rsidRPr="00D7773B">
        <w:t xml:space="preserve"> Bulgaria, Labour Migration and Labour Mobility Act (</w:t>
      </w:r>
      <w:r w:rsidRPr="00D7773B">
        <w:rPr>
          <w:i/>
          <w:lang w:val="bg-BG"/>
        </w:rPr>
        <w:t>Закон за трудовата миграция и трудовата мобилност</w:t>
      </w:r>
      <w:r w:rsidRPr="00D7773B">
        <w:t xml:space="preserve">), </w:t>
      </w:r>
      <w:r w:rsidRPr="00D7773B">
        <w:rPr>
          <w:lang w:val="bg-BG"/>
        </w:rPr>
        <w:t xml:space="preserve">21 </w:t>
      </w:r>
      <w:r w:rsidRPr="00D7773B">
        <w:t xml:space="preserve">May 2016, </w:t>
      </w:r>
      <w:hyperlink r:id="rId88" w:history="1">
        <w:r w:rsidRPr="00D7773B">
          <w:rPr>
            <w:rStyle w:val="Hyperlink"/>
          </w:rPr>
          <w:t>https://www.lex.bg/bg/laws/ldoc/2136803084</w:t>
        </w:r>
      </w:hyperlink>
      <w:r w:rsidRPr="00D7773B">
        <w:rPr>
          <w:rStyle w:val="Hyperlink"/>
        </w:rPr>
        <w:t xml:space="preserve">, </w:t>
      </w:r>
      <w:r w:rsidRPr="00D7773B">
        <w:rPr>
          <w:rStyle w:val="Hyperlink"/>
          <w:color w:val="auto"/>
          <w:u w:val="none"/>
        </w:rPr>
        <w:t xml:space="preserve">Art. </w:t>
      </w:r>
      <w:r>
        <w:rPr>
          <w:rStyle w:val="Hyperlink"/>
          <w:color w:val="auto"/>
          <w:u w:val="none"/>
        </w:rPr>
        <w:t>13</w:t>
      </w:r>
    </w:p>
  </w:footnote>
  <w:footnote w:id="95">
    <w:p w14:paraId="5BB663CA" w14:textId="066E147E" w:rsidR="00CD7B2E" w:rsidRPr="00D7773B" w:rsidRDefault="00CD7B2E" w:rsidP="0077131A">
      <w:pPr>
        <w:pStyle w:val="FootnoteText"/>
      </w:pPr>
      <w:r w:rsidRPr="00D7773B">
        <w:rPr>
          <w:rStyle w:val="FootnoteReference"/>
        </w:rPr>
        <w:footnoteRef/>
      </w:r>
      <w:r w:rsidRPr="00D7773B">
        <w:t xml:space="preserve"> Bulgaria, Council of Ministers of the Republic of Bulgaria </w:t>
      </w:r>
      <w:r w:rsidRPr="00D7773B">
        <w:rPr>
          <w:i/>
          <w:iCs/>
        </w:rPr>
        <w:t>(</w:t>
      </w:r>
      <w:r w:rsidRPr="00D7773B">
        <w:rPr>
          <w:i/>
          <w:iCs/>
          <w:lang w:val="bg-BG"/>
        </w:rPr>
        <w:t>Министерски съвет на Република България</w:t>
      </w:r>
      <w:r w:rsidRPr="00D7773B">
        <w:rPr>
          <w:i/>
          <w:iCs/>
        </w:rPr>
        <w:t>)</w:t>
      </w:r>
      <w:r w:rsidRPr="00D7773B">
        <w:rPr>
          <w:lang w:val="bg-BG"/>
        </w:rPr>
        <w:t xml:space="preserve"> </w:t>
      </w:r>
      <w:r w:rsidRPr="00D7773B">
        <w:rPr>
          <w:bCs/>
        </w:rPr>
        <w:t>(2010)</w:t>
      </w:r>
      <w:r w:rsidRPr="00D7773B">
        <w:rPr>
          <w:bCs/>
          <w:lang w:val="bg-BG"/>
        </w:rPr>
        <w:t xml:space="preserve"> </w:t>
      </w:r>
      <w:r w:rsidRPr="00D7773B">
        <w:rPr>
          <w:bCs/>
        </w:rPr>
        <w:t>The Framework Programme for Integration of Roma into Bulgarian Society (2010 – 2020) (</w:t>
      </w:r>
      <w:r w:rsidRPr="00D7773B">
        <w:rPr>
          <w:bCs/>
          <w:i/>
          <w:iCs/>
        </w:rPr>
        <w:t>Рамкова програма за интегриране на ромите в българското общество (2010-2020 г.)</w:t>
      </w:r>
      <w:r w:rsidRPr="00D7773B">
        <w:rPr>
          <w:bCs/>
        </w:rPr>
        <w:t xml:space="preserve">), 12 May 2010,  </w:t>
      </w:r>
      <w:hyperlink r:id="rId89" w:history="1">
        <w:r w:rsidRPr="00D7773B">
          <w:rPr>
            <w:rStyle w:val="Hyperlink"/>
          </w:rPr>
          <w:t>http://strategy.bg/StrategicDocuments/View.aspx?lang=bg-BG&amp;Id=609</w:t>
        </w:r>
      </w:hyperlink>
      <w:r w:rsidRPr="00D7773B">
        <w:t xml:space="preserve"> The Framework Programme refers explicitly to a number of EU and international standards and strategic documents in the field, among which Council Directive 2000/78/EC of 27 November 2000 establishing a general framework for equal treatment in employment and occupation, Council Directive 2000/43/EC of 29 June 2000 implementing the principle of equal treatment between persons irrespective of racial or ethnic origin, the 2005 European Parliament resolution on the situation of the Roma in the European Union, European Parliament resolution of 11 March 2009 on the social situation of the Roma and their improved access to the labour market in the EU (2008/2137(INI)), the Council Conclusions on inclusion of the Roma of 2008, the Framework Convention for the Protection of National Minorities.</w:t>
      </w:r>
    </w:p>
  </w:footnote>
  <w:footnote w:id="96">
    <w:p w14:paraId="4AD8974C" w14:textId="5F75996A" w:rsidR="00CD7B2E" w:rsidRPr="00DD26C6" w:rsidRDefault="00CD7B2E" w:rsidP="0077131A">
      <w:pPr>
        <w:pStyle w:val="FootnoteText"/>
      </w:pPr>
      <w:r>
        <w:rPr>
          <w:rStyle w:val="FootnoteReference"/>
        </w:rPr>
        <w:footnoteRef/>
      </w:r>
      <w:r>
        <w:t xml:space="preserve"> </w:t>
      </w:r>
      <w:r w:rsidRPr="00D7773B">
        <w:t xml:space="preserve">Bulgaria, National Assembly of the Republic of Bulgaria </w:t>
      </w:r>
      <w:r w:rsidRPr="00D7773B">
        <w:rPr>
          <w:i/>
          <w:iCs/>
        </w:rPr>
        <w:t>(</w:t>
      </w:r>
      <w:r w:rsidRPr="00D7773B">
        <w:rPr>
          <w:i/>
          <w:iCs/>
          <w:lang w:val="bg-BG"/>
        </w:rPr>
        <w:t>Народно събрание на Република България</w:t>
      </w:r>
      <w:r w:rsidRPr="00D7773B">
        <w:rPr>
          <w:i/>
          <w:iCs/>
        </w:rPr>
        <w:t>)</w:t>
      </w:r>
      <w:r w:rsidRPr="00D7773B">
        <w:rPr>
          <w:i/>
          <w:iCs/>
          <w:lang w:val="bg-BG"/>
        </w:rPr>
        <w:t xml:space="preserve"> </w:t>
      </w:r>
      <w:r w:rsidRPr="00D7773B">
        <w:rPr>
          <w:lang w:val="bg-BG"/>
        </w:rPr>
        <w:t xml:space="preserve">(2012) </w:t>
      </w:r>
      <w:r w:rsidRPr="00D7773B">
        <w:t xml:space="preserve">National Strategy of the Republic of Bulgaria for Roma Integration </w:t>
      </w:r>
      <w:r w:rsidRPr="00D7773B">
        <w:rPr>
          <w:i/>
          <w:iCs/>
          <w:lang w:val="bg-BG"/>
        </w:rPr>
        <w:t xml:space="preserve">(Национална стратегия на Република България за интегриране на ромите (2012 - 2020)), </w:t>
      </w:r>
      <w:r w:rsidRPr="00D7773B">
        <w:t xml:space="preserve">1 March 2012, </w:t>
      </w:r>
      <w:hyperlink r:id="rId90" w:history="1">
        <w:r w:rsidRPr="00D7773B">
          <w:rPr>
            <w:rStyle w:val="Hyperlink"/>
          </w:rPr>
          <w:t>https://www.strategy.bg/StrategicDocuments/View.aspx?lang=bg-BG&amp;Id=726</w:t>
        </w:r>
      </w:hyperlink>
    </w:p>
  </w:footnote>
  <w:footnote w:id="97">
    <w:p w14:paraId="3FCE7B31" w14:textId="468B51CD" w:rsidR="00CD7B2E" w:rsidRPr="00D7773B" w:rsidRDefault="00CD7B2E" w:rsidP="0077131A">
      <w:pPr>
        <w:pStyle w:val="FootnoteText"/>
      </w:pPr>
      <w:r w:rsidRPr="00D7773B">
        <w:rPr>
          <w:rStyle w:val="FootnoteReference"/>
        </w:rPr>
        <w:footnoteRef/>
      </w:r>
      <w:r w:rsidRPr="00D7773B">
        <w:t xml:space="preserve"> Bulgaria, Ministry of Education and Science </w:t>
      </w:r>
      <w:r w:rsidRPr="00D7773B">
        <w:rPr>
          <w:i/>
        </w:rPr>
        <w:t>(</w:t>
      </w:r>
      <w:r w:rsidRPr="00D7773B">
        <w:rPr>
          <w:i/>
          <w:lang w:val="bg-BG"/>
        </w:rPr>
        <w:t>Министерство на образованието и науката</w:t>
      </w:r>
      <w:r w:rsidRPr="00D7773B">
        <w:rPr>
          <w:i/>
        </w:rPr>
        <w:t>)</w:t>
      </w:r>
      <w:r w:rsidRPr="00D7773B">
        <w:rPr>
          <w:lang w:val="bg-BG"/>
        </w:rPr>
        <w:t xml:space="preserve"> (2015), </w:t>
      </w:r>
      <w:r w:rsidRPr="00D7773B">
        <w:t xml:space="preserve">Strategy for Educational Integration of the Children and Students from Ethnic Minorities </w:t>
      </w:r>
      <w:r w:rsidRPr="00D7773B">
        <w:rPr>
          <w:lang w:val="bg-BG"/>
        </w:rPr>
        <w:t xml:space="preserve">2015-2020 </w:t>
      </w:r>
      <w:r w:rsidRPr="00D7773B">
        <w:rPr>
          <w:i/>
          <w:iCs/>
          <w:lang w:val="bg-BG"/>
        </w:rPr>
        <w:t>(Стратегия за</w:t>
      </w:r>
      <w:r w:rsidRPr="00D7773B">
        <w:rPr>
          <w:i/>
          <w:iCs/>
        </w:rPr>
        <w:t xml:space="preserve"> </w:t>
      </w:r>
      <w:r w:rsidRPr="00D7773B">
        <w:rPr>
          <w:i/>
          <w:iCs/>
          <w:lang w:val="bg-BG"/>
        </w:rPr>
        <w:t>образователна интеграция на децата и учениците от етническите малцинства (2015-2020))</w:t>
      </w:r>
      <w:r w:rsidRPr="00D7773B">
        <w:rPr>
          <w:iCs/>
        </w:rPr>
        <w:t xml:space="preserve">, </w:t>
      </w:r>
      <w:hyperlink r:id="rId91" w:history="1">
        <w:r w:rsidRPr="00D7773B">
          <w:rPr>
            <w:rStyle w:val="Hyperlink"/>
            <w:iCs/>
          </w:rPr>
          <w:t>https://www.mon.bg/bg/143</w:t>
        </w:r>
      </w:hyperlink>
      <w:r w:rsidRPr="00837AEF">
        <w:rPr>
          <w:rStyle w:val="Hyperlink"/>
          <w:iCs/>
          <w:color w:val="000000" w:themeColor="text1"/>
          <w:u w:val="none"/>
        </w:rPr>
        <w:t>, preceded by a strategy for until 2015, to which the</w:t>
      </w:r>
      <w:r w:rsidRPr="00837AEF">
        <w:rPr>
          <w:iCs/>
          <w:color w:val="000000" w:themeColor="text1"/>
        </w:rPr>
        <w:t xml:space="preserve"> Roma integration strategy actually refers</w:t>
      </w:r>
    </w:p>
  </w:footnote>
  <w:footnote w:id="98">
    <w:p w14:paraId="462115CF" w14:textId="5D78B287" w:rsidR="00CD7B2E" w:rsidRPr="00D7773B" w:rsidRDefault="00CD7B2E" w:rsidP="0077131A">
      <w:pPr>
        <w:pStyle w:val="FootnoteText"/>
      </w:pPr>
      <w:r w:rsidRPr="00D7773B">
        <w:rPr>
          <w:rStyle w:val="FootnoteReference"/>
        </w:rPr>
        <w:footnoteRef/>
      </w:r>
      <w:r w:rsidRPr="00D7773B">
        <w:t xml:space="preserve"> Bulgaria, Council of Ministers of the Republic of Bulgaria </w:t>
      </w:r>
      <w:r w:rsidRPr="00D7773B">
        <w:rPr>
          <w:i/>
        </w:rPr>
        <w:t>(</w:t>
      </w:r>
      <w:r w:rsidRPr="00D7773B">
        <w:rPr>
          <w:i/>
          <w:lang w:val="bg-BG"/>
        </w:rPr>
        <w:t>Министерски съвет на Република България</w:t>
      </w:r>
      <w:r w:rsidRPr="00D7773B">
        <w:rPr>
          <w:i/>
        </w:rPr>
        <w:t>)</w:t>
      </w:r>
      <w:r w:rsidRPr="00D7773B">
        <w:rPr>
          <w:lang w:val="bg-BG"/>
        </w:rPr>
        <w:t xml:space="preserve"> (2005) </w:t>
      </w:r>
      <w:r w:rsidRPr="00D7773B">
        <w:t xml:space="preserve">Health Strategy for Disadvantaged Persons belonging to the Ethnic Minorities 2005-2015 </w:t>
      </w:r>
      <w:r w:rsidRPr="00D7773B">
        <w:rPr>
          <w:i/>
          <w:iCs/>
          <w:lang w:val="bg-BG"/>
        </w:rPr>
        <w:t>(Здравна стратегия</w:t>
      </w:r>
      <w:r w:rsidRPr="00D7773B">
        <w:rPr>
          <w:i/>
          <w:iCs/>
        </w:rPr>
        <w:t xml:space="preserve"> </w:t>
      </w:r>
      <w:r w:rsidRPr="00D7773B">
        <w:rPr>
          <w:i/>
          <w:iCs/>
          <w:lang w:val="bg-BG"/>
        </w:rPr>
        <w:t xml:space="preserve">за лица в неравностойно положение, принадлежащи към етнически малцинства, 2005 - 2015 г.), </w:t>
      </w:r>
      <w:hyperlink r:id="rId92" w:history="1">
        <w:r w:rsidRPr="00D7773B">
          <w:rPr>
            <w:rStyle w:val="Hyperlink"/>
            <w:iCs/>
            <w:lang w:val="bg-BG"/>
          </w:rPr>
          <w:t>https://www.strategy.bg/StrategicDocuments/View.aspx?lang=bg-BG&amp;Id=658</w:t>
        </w:r>
      </w:hyperlink>
      <w:r w:rsidRPr="00D7773B">
        <w:rPr>
          <w:iCs/>
        </w:rPr>
        <w:t>, operationalised in an action plan for 2011-2015</w:t>
      </w:r>
      <w:r w:rsidRPr="00D7773B">
        <w:rPr>
          <w:iCs/>
          <w:lang w:val="bg-BG"/>
        </w:rPr>
        <w:t xml:space="preserve"> </w:t>
      </w:r>
    </w:p>
  </w:footnote>
  <w:footnote w:id="99">
    <w:p w14:paraId="5EC4D7EC" w14:textId="43A312B1" w:rsidR="00CD7B2E" w:rsidRPr="00D7773B" w:rsidRDefault="00CD7B2E" w:rsidP="0077131A">
      <w:pPr>
        <w:pStyle w:val="FootnoteText"/>
      </w:pPr>
      <w:r w:rsidRPr="00D7773B">
        <w:rPr>
          <w:rStyle w:val="FootnoteReference"/>
        </w:rPr>
        <w:footnoteRef/>
      </w:r>
      <w:r w:rsidRPr="00D7773B">
        <w:t xml:space="preserve"> Bulgaria, Council of Ministers of the Republic of Bulgaria </w:t>
      </w:r>
      <w:r w:rsidRPr="00D7773B">
        <w:rPr>
          <w:i/>
        </w:rPr>
        <w:t>(</w:t>
      </w:r>
      <w:r w:rsidRPr="00D7773B">
        <w:rPr>
          <w:i/>
          <w:lang w:val="bg-BG"/>
        </w:rPr>
        <w:t>Министерски съвет на Република България</w:t>
      </w:r>
      <w:r w:rsidRPr="00D7773B">
        <w:rPr>
          <w:i/>
        </w:rPr>
        <w:t>)</w:t>
      </w:r>
      <w:r w:rsidRPr="00D7773B">
        <w:rPr>
          <w:lang w:val="bg-BG"/>
        </w:rPr>
        <w:t xml:space="preserve"> (2006) </w:t>
      </w:r>
      <w:r w:rsidRPr="00D7773B">
        <w:t>National Programme for Improvement of the Housing of Roma in the Republic of Bulgaria in the period 2005-2015</w:t>
      </w:r>
      <w:r w:rsidRPr="00D7773B">
        <w:rPr>
          <w:lang w:val="bg-BG"/>
        </w:rPr>
        <w:t xml:space="preserve"> </w:t>
      </w:r>
      <w:r w:rsidRPr="00D7773B">
        <w:rPr>
          <w:i/>
          <w:iCs/>
          <w:lang w:val="bg-BG"/>
        </w:rPr>
        <w:t xml:space="preserve">(Национална програма за подобряване на жилищните условия на ромите в България 2005 - 2015 г.), </w:t>
      </w:r>
      <w:hyperlink r:id="rId93" w:history="1">
        <w:r w:rsidRPr="00D7773B">
          <w:rPr>
            <w:rStyle w:val="Hyperlink"/>
            <w:iCs/>
            <w:lang w:val="bg-BG"/>
          </w:rPr>
          <w:t>https://www.strategy.bg/StrategicDocuments/View.aspx?lang=bg-BG&amp;Id=433</w:t>
        </w:r>
      </w:hyperlink>
      <w:r w:rsidRPr="00D7773B">
        <w:rPr>
          <w:iCs/>
          <w:lang w:val="bg-BG"/>
        </w:rPr>
        <w:t xml:space="preserve"> </w:t>
      </w:r>
    </w:p>
  </w:footnote>
  <w:footnote w:id="100">
    <w:p w14:paraId="4B2C4953" w14:textId="6BBD1A37" w:rsidR="00CD7B2E" w:rsidRPr="00D7773B" w:rsidRDefault="00CD7B2E" w:rsidP="0077131A">
      <w:pPr>
        <w:pStyle w:val="FootnoteText"/>
      </w:pPr>
      <w:r w:rsidRPr="00D7773B">
        <w:rPr>
          <w:rStyle w:val="FootnoteReference"/>
        </w:rPr>
        <w:footnoteRef/>
      </w:r>
      <w:r w:rsidRPr="00D7773B">
        <w:t xml:space="preserve"> Bulgaria, Council of Ministers of the Republic of Bulgaria </w:t>
      </w:r>
      <w:r w:rsidRPr="00D7773B">
        <w:rPr>
          <w:i/>
          <w:iCs/>
        </w:rPr>
        <w:t>(</w:t>
      </w:r>
      <w:r w:rsidRPr="00D7773B">
        <w:rPr>
          <w:i/>
          <w:iCs/>
          <w:lang w:val="bg-BG"/>
        </w:rPr>
        <w:t>Министерски съвет на Република България</w:t>
      </w:r>
      <w:r w:rsidRPr="00D7773B">
        <w:rPr>
          <w:i/>
          <w:iCs/>
        </w:rPr>
        <w:t>)</w:t>
      </w:r>
      <w:r w:rsidRPr="00D7773B">
        <w:rPr>
          <w:lang w:val="bg-BG"/>
        </w:rPr>
        <w:t xml:space="preserve"> </w:t>
      </w:r>
      <w:r w:rsidRPr="00D7773B">
        <w:rPr>
          <w:bCs/>
        </w:rPr>
        <w:t xml:space="preserve">(2013) </w:t>
      </w:r>
      <w:r w:rsidRPr="00D7773B">
        <w:t>Strategy for Reducing the Share of School Drop-outs 2013-2020 (</w:t>
      </w:r>
      <w:r w:rsidRPr="00D7773B">
        <w:rPr>
          <w:i/>
        </w:rPr>
        <w:t>Стратегия за намаляване дела на преждевременно напусналите образователната система (2013-2020))</w:t>
      </w:r>
      <w:r w:rsidRPr="00D7773B">
        <w:t xml:space="preserve">, 30 October 2013, </w:t>
      </w:r>
      <w:hyperlink r:id="rId94" w:history="1">
        <w:r w:rsidRPr="00D7773B">
          <w:rPr>
            <w:rStyle w:val="Hyperlink"/>
          </w:rPr>
          <w:t>https://www.strategy.bg/StrategicDocuments/View.aspx?lang=bg-BG&amp;Id=870</w:t>
        </w:r>
      </w:hyperlink>
      <w:r w:rsidRPr="00D7773B">
        <w:t xml:space="preserve"> </w:t>
      </w:r>
    </w:p>
  </w:footnote>
  <w:footnote w:id="101">
    <w:p w14:paraId="41C93A3B" w14:textId="5D158884" w:rsidR="00CD7B2E" w:rsidRPr="00D7773B" w:rsidRDefault="00CD7B2E" w:rsidP="0077131A">
      <w:pPr>
        <w:pStyle w:val="FootnoteText"/>
        <w:rPr>
          <w:color w:val="000000" w:themeColor="text1"/>
        </w:rPr>
      </w:pPr>
      <w:r w:rsidRPr="00D7773B">
        <w:rPr>
          <w:rStyle w:val="FootnoteReference"/>
        </w:rPr>
        <w:footnoteRef/>
      </w:r>
      <w:r w:rsidRPr="00D7773B">
        <w:t xml:space="preserve"> Bulgaria, Council of Ministers of the Republic of Bulgaria </w:t>
      </w:r>
      <w:r w:rsidRPr="00D7773B">
        <w:rPr>
          <w:i/>
          <w:iCs/>
        </w:rPr>
        <w:t>(</w:t>
      </w:r>
      <w:r w:rsidRPr="00D7773B">
        <w:rPr>
          <w:i/>
          <w:iCs/>
          <w:lang w:val="bg-BG"/>
        </w:rPr>
        <w:t>Министерски съвет на Република България</w:t>
      </w:r>
      <w:r w:rsidRPr="00D7773B">
        <w:rPr>
          <w:i/>
          <w:iCs/>
        </w:rPr>
        <w:t>)</w:t>
      </w:r>
      <w:r w:rsidRPr="00D7773B">
        <w:rPr>
          <w:lang w:val="bg-BG"/>
        </w:rPr>
        <w:t xml:space="preserve"> </w:t>
      </w:r>
      <w:r w:rsidRPr="00D7773B">
        <w:rPr>
          <w:bCs/>
        </w:rPr>
        <w:t xml:space="preserve">(2013), </w:t>
      </w:r>
      <w:r w:rsidRPr="00D7773B">
        <w:t xml:space="preserve">National strategy for reducing poverty and promoting social inclusion 2020, 6 February 2013, </w:t>
      </w:r>
      <w:hyperlink r:id="rId95" w:history="1">
        <w:r w:rsidRPr="00D7773B">
          <w:rPr>
            <w:rStyle w:val="Hyperlink"/>
          </w:rPr>
          <w:t>https://www.strategy.bg/StrategicDocuments/View.aspx?lang=bg-BG&amp;Id=790</w:t>
        </w:r>
      </w:hyperlink>
      <w:r w:rsidRPr="00D7773B">
        <w:rPr>
          <w:rStyle w:val="Hyperlink"/>
          <w:color w:val="000000" w:themeColor="text1"/>
          <w:u w:val="none"/>
        </w:rPr>
        <w:t xml:space="preserve">. The strategy refers to standards such as the International Covenant on Civil and Political Rights, the Convention on the Rights of the Child, the Convention on the Elimination of All Forms of Discrimination against Women, the Convention on the Rights of Persons with Disabilities, as well as various conventions of the International Labour Organisation. </w:t>
      </w:r>
    </w:p>
  </w:footnote>
  <w:footnote w:id="102">
    <w:p w14:paraId="2CEA2C0B" w14:textId="50AE67B6" w:rsidR="00CD7B2E" w:rsidRPr="00D7773B" w:rsidRDefault="00CD7B2E" w:rsidP="0077131A">
      <w:pPr>
        <w:pStyle w:val="FootnoteText"/>
        <w:rPr>
          <w:lang w:val="bg-BG"/>
        </w:rPr>
      </w:pPr>
      <w:r w:rsidRPr="00D7773B">
        <w:rPr>
          <w:rStyle w:val="FootnoteReference"/>
        </w:rPr>
        <w:footnoteRef/>
      </w:r>
      <w:r w:rsidRPr="00D7773B">
        <w:t xml:space="preserve"> Bulgaria, Ministry of Labour and Social Policy </w:t>
      </w:r>
      <w:r w:rsidRPr="00D7773B">
        <w:rPr>
          <w:i/>
        </w:rPr>
        <w:t>(</w:t>
      </w:r>
      <w:r w:rsidRPr="00D7773B">
        <w:rPr>
          <w:i/>
          <w:lang w:val="bg-BG"/>
        </w:rPr>
        <w:t>Министерство на труда и социалната политика</w:t>
      </w:r>
      <w:r w:rsidRPr="00D7773B">
        <w:rPr>
          <w:i/>
        </w:rPr>
        <w:t>)</w:t>
      </w:r>
      <w:r w:rsidRPr="00D7773B">
        <w:rPr>
          <w:i/>
          <w:lang w:val="bg-BG"/>
        </w:rPr>
        <w:t xml:space="preserve"> </w:t>
      </w:r>
      <w:r w:rsidRPr="00D7773B">
        <w:t xml:space="preserve">(2019) National Employment Action Plan 2019 </w:t>
      </w:r>
      <w:r w:rsidRPr="00D7773B">
        <w:rPr>
          <w:i/>
        </w:rPr>
        <w:t>(</w:t>
      </w:r>
      <w:r w:rsidRPr="00D7773B">
        <w:rPr>
          <w:i/>
          <w:lang w:val="bg-BG"/>
        </w:rPr>
        <w:t>Национален план за действие по заетостта през 2019 г.</w:t>
      </w:r>
      <w:r w:rsidRPr="00D7773B">
        <w:rPr>
          <w:i/>
        </w:rPr>
        <w:t>)</w:t>
      </w:r>
      <w:r w:rsidRPr="00D7773B">
        <w:rPr>
          <w:lang w:val="bg-BG"/>
        </w:rPr>
        <w:t xml:space="preserve">, 18 </w:t>
      </w:r>
      <w:r w:rsidRPr="00D7773B">
        <w:t xml:space="preserve">January 2019, </w:t>
      </w:r>
      <w:hyperlink r:id="rId96" w:history="1">
        <w:r w:rsidRPr="00D7773B">
          <w:rPr>
            <w:rStyle w:val="Hyperlink"/>
          </w:rPr>
          <w:t>https://www.mlsp.government.bg/index.php?section=POLICIESI&amp;I=249</w:t>
        </w:r>
      </w:hyperlink>
      <w:r w:rsidRPr="00D7773B">
        <w:rPr>
          <w:lang w:val="bg-BG"/>
        </w:rPr>
        <w:t xml:space="preserve"> </w:t>
      </w:r>
    </w:p>
  </w:footnote>
  <w:footnote w:id="103">
    <w:p w14:paraId="7A422DC9" w14:textId="70626A2A" w:rsidR="00CD7B2E" w:rsidRPr="00D7773B" w:rsidRDefault="00CD7B2E" w:rsidP="0077131A">
      <w:pPr>
        <w:pStyle w:val="FootnoteText"/>
      </w:pPr>
      <w:r w:rsidRPr="00D7773B">
        <w:rPr>
          <w:rStyle w:val="FootnoteReference"/>
        </w:rPr>
        <w:footnoteRef/>
      </w:r>
      <w:r w:rsidRPr="00D7773B">
        <w:t xml:space="preserve"> Bulgaria, Amalipe Center for Interethnic Dialogue and Tolerance, World Without Borders Association</w:t>
      </w:r>
    </w:p>
    <w:p w14:paraId="0957225E" w14:textId="1822061F" w:rsidR="00CD7B2E" w:rsidRPr="00D7773B" w:rsidRDefault="00CD7B2E" w:rsidP="0077131A">
      <w:pPr>
        <w:pStyle w:val="FootnoteText"/>
        <w:rPr>
          <w:lang w:val="bg-BG"/>
        </w:rPr>
      </w:pPr>
      <w:r w:rsidRPr="00D7773B">
        <w:t>IndiRoma Foundation, Roma Academy for Culture</w:t>
      </w:r>
      <w:r w:rsidRPr="00D7773B">
        <w:rPr>
          <w:lang w:val="bg-BG"/>
        </w:rPr>
        <w:t xml:space="preserve"> </w:t>
      </w:r>
      <w:r w:rsidRPr="00D7773B">
        <w:t xml:space="preserve">and Education, Gender Alternatives Foundation (2018) Civil Society Monitoring Report on Implementation of the National Roma Integration Strategy in Bulgaria Focusing on structural and horizontal preconditions for successful implementation of the strategy, March 2018, </w:t>
      </w:r>
      <w:hyperlink r:id="rId97" w:history="1">
        <w:r w:rsidRPr="00D7773B">
          <w:rPr>
            <w:rStyle w:val="Hyperlink"/>
          </w:rPr>
          <w:t>http://amalipe.com/files/publications/rcm-civil-society-monitoring-report-1-bulgaria-2017.pdf</w:t>
        </w:r>
      </w:hyperlink>
      <w:r w:rsidRPr="00D7773B">
        <w:t>, recommendations on p. 59-62.</w:t>
      </w:r>
    </w:p>
  </w:footnote>
  <w:footnote w:id="104">
    <w:p w14:paraId="47574D4B" w14:textId="774C88DE" w:rsidR="00CD7B2E" w:rsidRPr="00D7773B" w:rsidRDefault="00CD7B2E" w:rsidP="0077131A">
      <w:pPr>
        <w:pStyle w:val="FootnoteText"/>
      </w:pPr>
      <w:r w:rsidRPr="00D7773B">
        <w:rPr>
          <w:rStyle w:val="FootnoteReference"/>
        </w:rPr>
        <w:footnoteRef/>
      </w:r>
      <w:r w:rsidRPr="008E576F">
        <w:rPr>
          <w:lang w:val="bg-BG"/>
        </w:rPr>
        <w:t xml:space="preserve"> </w:t>
      </w:r>
      <w:r w:rsidRPr="00D7773B">
        <w:t>Bulgaria</w:t>
      </w:r>
      <w:r w:rsidRPr="008E576F">
        <w:rPr>
          <w:lang w:val="bg-BG"/>
        </w:rPr>
        <w:t xml:space="preserve">, </w:t>
      </w:r>
      <w:r w:rsidRPr="00D7773B">
        <w:t>Bulgarian</w:t>
      </w:r>
      <w:r w:rsidRPr="008E576F">
        <w:rPr>
          <w:lang w:val="bg-BG"/>
        </w:rPr>
        <w:t xml:space="preserve"> </w:t>
      </w:r>
      <w:r w:rsidRPr="00D7773B">
        <w:t>Helsinki</w:t>
      </w:r>
      <w:r w:rsidRPr="008E576F">
        <w:rPr>
          <w:lang w:val="bg-BG"/>
        </w:rPr>
        <w:t xml:space="preserve"> </w:t>
      </w:r>
      <w:r w:rsidRPr="00D7773B">
        <w:t>Committee</w:t>
      </w:r>
      <w:r w:rsidRPr="008E576F">
        <w:rPr>
          <w:lang w:val="bg-BG"/>
        </w:rPr>
        <w:t xml:space="preserve"> </w:t>
      </w:r>
      <w:r w:rsidRPr="008E576F">
        <w:rPr>
          <w:i/>
          <w:lang w:val="bg-BG"/>
        </w:rPr>
        <w:t>(</w:t>
      </w:r>
      <w:r w:rsidRPr="00D7773B">
        <w:rPr>
          <w:i/>
          <w:lang w:val="bg-BG"/>
        </w:rPr>
        <w:t>Български хелзинкски комитет</w:t>
      </w:r>
      <w:r w:rsidRPr="008E576F">
        <w:rPr>
          <w:i/>
          <w:lang w:val="bg-BG"/>
        </w:rPr>
        <w:t>)</w:t>
      </w:r>
      <w:r w:rsidRPr="00D7773B">
        <w:rPr>
          <w:i/>
          <w:lang w:val="bg-BG"/>
        </w:rPr>
        <w:t xml:space="preserve"> </w:t>
      </w:r>
      <w:r w:rsidRPr="00D7773B">
        <w:rPr>
          <w:lang w:val="bg-BG"/>
        </w:rPr>
        <w:t xml:space="preserve">(2019) </w:t>
      </w:r>
      <w:r w:rsidRPr="00D7773B">
        <w:t>Human</w:t>
      </w:r>
      <w:r w:rsidRPr="008E576F">
        <w:rPr>
          <w:lang w:val="bg-BG"/>
        </w:rPr>
        <w:t xml:space="preserve"> </w:t>
      </w:r>
      <w:r w:rsidRPr="00D7773B">
        <w:t>Rights</w:t>
      </w:r>
      <w:r w:rsidRPr="008E576F">
        <w:rPr>
          <w:lang w:val="bg-BG"/>
        </w:rPr>
        <w:t xml:space="preserve"> </w:t>
      </w:r>
      <w:r w:rsidRPr="00D7773B">
        <w:t>in</w:t>
      </w:r>
      <w:r w:rsidRPr="008E576F">
        <w:rPr>
          <w:lang w:val="bg-BG"/>
        </w:rPr>
        <w:t xml:space="preserve"> </w:t>
      </w:r>
      <w:r w:rsidRPr="00D7773B">
        <w:t>Bulgaria</w:t>
      </w:r>
      <w:r w:rsidRPr="008E576F">
        <w:rPr>
          <w:lang w:val="bg-BG"/>
        </w:rPr>
        <w:t xml:space="preserve"> </w:t>
      </w:r>
      <w:r w:rsidRPr="00D7773B">
        <w:t>in</w:t>
      </w:r>
      <w:r w:rsidRPr="008E576F">
        <w:rPr>
          <w:lang w:val="bg-BG"/>
        </w:rPr>
        <w:t xml:space="preserve"> 2018 </w:t>
      </w:r>
      <w:r w:rsidRPr="008E576F">
        <w:rPr>
          <w:i/>
          <w:lang w:val="bg-BG"/>
        </w:rPr>
        <w:t>(</w:t>
      </w:r>
      <w:r w:rsidRPr="00D7773B">
        <w:rPr>
          <w:i/>
          <w:lang w:val="bg-BG"/>
        </w:rPr>
        <w:t>Правата на човека в България през 2018 г.</w:t>
      </w:r>
      <w:r w:rsidRPr="008E576F">
        <w:rPr>
          <w:i/>
          <w:lang w:val="bg-BG"/>
        </w:rPr>
        <w:t>)</w:t>
      </w:r>
      <w:r w:rsidRPr="00D7773B">
        <w:rPr>
          <w:rStyle w:val="Hyperlink"/>
          <w:lang w:val="bg-BG"/>
        </w:rPr>
        <w:t xml:space="preserve"> </w:t>
      </w:r>
      <w:hyperlink r:id="rId98" w:history="1">
        <w:r w:rsidRPr="00D7773B">
          <w:rPr>
            <w:rStyle w:val="Hyperlink"/>
          </w:rPr>
          <w:t>https://www.bghelsinki.org/media/uploads/annual_reports/annual-bhc-report-2018-issn-2367-6930-bg.pdf</w:t>
        </w:r>
      </w:hyperlink>
    </w:p>
  </w:footnote>
  <w:footnote w:id="105">
    <w:p w14:paraId="0C616DC9" w14:textId="16022DBE" w:rsidR="00CD7B2E" w:rsidRPr="00D7773B" w:rsidRDefault="00CD7B2E" w:rsidP="0077131A">
      <w:pPr>
        <w:pStyle w:val="FootnoteText"/>
      </w:pPr>
      <w:r w:rsidRPr="00D7773B">
        <w:rPr>
          <w:rStyle w:val="FootnoteReference"/>
        </w:rPr>
        <w:footnoteRef/>
      </w:r>
      <w:r w:rsidRPr="00D7773B">
        <w:t xml:space="preserve"> Please see more at </w:t>
      </w:r>
      <w:hyperlink r:id="rId99" w:history="1">
        <w:r w:rsidRPr="00D7773B">
          <w:rPr>
            <w:rStyle w:val="Hyperlink"/>
          </w:rPr>
          <w:t>https://ec.europa.eu/info/policies/justice-and-fundamental-rights/combatting-discrimination/roma-and-eu/roma-integration-eu-country/roma-integration-bulgaria_en</w:t>
        </w:r>
      </w:hyperlink>
      <w:r w:rsidRPr="00D7773B">
        <w:t xml:space="preserve"> </w:t>
      </w:r>
    </w:p>
  </w:footnote>
  <w:footnote w:id="106">
    <w:p w14:paraId="10BD6C53" w14:textId="0FD27FE7" w:rsidR="00CD7B2E" w:rsidRPr="00D7773B" w:rsidRDefault="00CD7B2E" w:rsidP="0077131A">
      <w:pPr>
        <w:pStyle w:val="FootnoteText"/>
      </w:pPr>
      <w:r w:rsidRPr="00D7773B">
        <w:rPr>
          <w:rStyle w:val="FootnoteReference"/>
        </w:rPr>
        <w:footnoteRef/>
      </w:r>
      <w:r w:rsidRPr="00D7773B">
        <w:t xml:space="preserve"> Please see more at </w:t>
      </w:r>
      <w:hyperlink r:id="rId100" w:history="1">
        <w:r w:rsidRPr="00D7773B">
          <w:rPr>
            <w:rStyle w:val="Hyperlink"/>
          </w:rPr>
          <w:t>https://swiss-contribution.bg/projects/vklyuchvane-na-uyazvimi-grupi/tematichen-fond-podkrepa-za-sotsialnoto-vklyuchvane-na-romi-i-drugi-uyazvimi-grupi</w:t>
        </w:r>
      </w:hyperlink>
      <w:r w:rsidRPr="00D7773B">
        <w:t xml:space="preserve"> </w:t>
      </w:r>
    </w:p>
  </w:footnote>
  <w:footnote w:id="107">
    <w:p w14:paraId="3EB24363" w14:textId="722D92DA" w:rsidR="00CD7B2E" w:rsidRPr="00D7773B" w:rsidRDefault="00CD7B2E" w:rsidP="0077131A">
      <w:pPr>
        <w:pStyle w:val="FootnoteText"/>
      </w:pPr>
      <w:r w:rsidRPr="00D7773B">
        <w:rPr>
          <w:rStyle w:val="FootnoteReference"/>
        </w:rPr>
        <w:footnoteRef/>
      </w:r>
      <w:r w:rsidRPr="00D7773B">
        <w:t xml:space="preserve"> EEA Grants (2016) Strengthened cooperation with Bulgaria in the judicial and business sectors, 9 December 2016, </w:t>
      </w:r>
      <w:hyperlink r:id="rId101" w:history="1">
        <w:r w:rsidRPr="00D7773B">
          <w:rPr>
            <w:rStyle w:val="Hyperlink"/>
          </w:rPr>
          <w:t>https://eeagrants.org/News/2016/Strengthened-cooperation-with-Bulgaria-in-the-judicial-and-business-sectors</w:t>
        </w:r>
      </w:hyperlink>
    </w:p>
  </w:footnote>
  <w:footnote w:id="108">
    <w:p w14:paraId="3987AA75" w14:textId="79E147BD" w:rsidR="00CD7B2E" w:rsidRPr="00D7773B" w:rsidRDefault="00CD7B2E" w:rsidP="0077131A">
      <w:pPr>
        <w:pStyle w:val="FootnoteText"/>
      </w:pPr>
      <w:r w:rsidRPr="00D7773B">
        <w:rPr>
          <w:rStyle w:val="FootnoteReference"/>
        </w:rPr>
        <w:footnoteRef/>
      </w:r>
      <w:r w:rsidRPr="00D7773B">
        <w:t xml:space="preserve"> Bulgaria, Ministry of Labour and Social Policy </w:t>
      </w:r>
      <w:r w:rsidRPr="00D7773B">
        <w:rPr>
          <w:i/>
        </w:rPr>
        <w:t>(</w:t>
      </w:r>
      <w:r w:rsidRPr="00D7773B">
        <w:rPr>
          <w:i/>
          <w:lang w:val="bg-BG"/>
        </w:rPr>
        <w:t>Министерство на труда и социалната политика</w:t>
      </w:r>
      <w:r w:rsidRPr="00D7773B">
        <w:rPr>
          <w:i/>
        </w:rPr>
        <w:t>)</w:t>
      </w:r>
      <w:r w:rsidRPr="00D7773B">
        <w:rPr>
          <w:lang w:val="bg-BG"/>
        </w:rPr>
        <w:t xml:space="preserve">, </w:t>
      </w:r>
      <w:r w:rsidRPr="00D7773B">
        <w:t xml:space="preserve">The Human Resources Development Operational Programme 2014-2020 is the first operational programme to start in Bulgaria </w:t>
      </w:r>
      <w:r w:rsidRPr="00D7773B">
        <w:rPr>
          <w:i/>
        </w:rPr>
        <w:t>(</w:t>
      </w:r>
      <w:r w:rsidRPr="00D7773B">
        <w:rPr>
          <w:i/>
          <w:lang w:val="bg-BG"/>
        </w:rPr>
        <w:t>Оперативна програма “Развитие на човешките ресурси” 2014-2020 е първата оперативна програма, която стартира в България</w:t>
      </w:r>
      <w:r w:rsidRPr="00D7773B">
        <w:rPr>
          <w:i/>
        </w:rPr>
        <w:t>)</w:t>
      </w:r>
      <w:r w:rsidRPr="00D7773B">
        <w:t>,</w:t>
      </w:r>
      <w:r w:rsidRPr="00D7773B">
        <w:rPr>
          <w:lang w:val="bg-BG"/>
        </w:rPr>
        <w:t xml:space="preserve"> </w:t>
      </w:r>
      <w:hyperlink r:id="rId102" w:history="1">
        <w:r w:rsidRPr="00D7773B">
          <w:rPr>
            <w:rStyle w:val="Hyperlink"/>
          </w:rPr>
          <w:t>https://www.mlsp.government.bg/index.php?section=PRESS2&amp;prid=65</w:t>
        </w:r>
      </w:hyperlink>
    </w:p>
  </w:footnote>
  <w:footnote w:id="109">
    <w:p w14:paraId="379EA50D" w14:textId="67368288" w:rsidR="00CD7B2E" w:rsidRPr="00D7773B" w:rsidRDefault="00CD7B2E" w:rsidP="0077131A">
      <w:pPr>
        <w:pStyle w:val="FootnoteText"/>
      </w:pPr>
      <w:r w:rsidRPr="00D7773B">
        <w:rPr>
          <w:rStyle w:val="FootnoteReference"/>
        </w:rPr>
        <w:footnoteRef/>
      </w:r>
      <w:r w:rsidRPr="00D7773B">
        <w:t xml:space="preserve"> For an example of an institutional project, please see more at </w:t>
      </w:r>
      <w:hyperlink r:id="rId103" w:history="1">
        <w:r w:rsidRPr="00D7773B">
          <w:rPr>
            <w:rStyle w:val="Hyperlink"/>
          </w:rPr>
          <w:t>http://www.nccedi.government.bg/en/taxonomy/term/26</w:t>
        </w:r>
      </w:hyperlink>
    </w:p>
  </w:footnote>
  <w:footnote w:id="110">
    <w:p w14:paraId="7EDC35D8" w14:textId="6EB4365F" w:rsidR="00CD7B2E" w:rsidRPr="00D7773B" w:rsidRDefault="00CD7B2E" w:rsidP="0077131A">
      <w:pPr>
        <w:pStyle w:val="FootnoteText"/>
      </w:pPr>
      <w:r w:rsidRPr="00D7773B">
        <w:rPr>
          <w:rStyle w:val="FootnoteReference"/>
        </w:rPr>
        <w:footnoteRef/>
      </w:r>
      <w:r w:rsidRPr="00D7773B">
        <w:t xml:space="preserve"> Bulgaria, National Assembly of the Republic of Bulgaria (</w:t>
      </w:r>
      <w:r w:rsidRPr="00D7773B">
        <w:rPr>
          <w:i/>
          <w:lang w:val="bg-BG"/>
        </w:rPr>
        <w:t>Народно събрание на Република България</w:t>
      </w:r>
      <w:r w:rsidRPr="00D7773B">
        <w:rPr>
          <w:lang w:val="bg-BG"/>
        </w:rPr>
        <w:t>)</w:t>
      </w:r>
      <w:r w:rsidRPr="00D7773B">
        <w:t xml:space="preserve"> (2008) National Strategy for the Child 2008-2018 (</w:t>
      </w:r>
      <w:r w:rsidRPr="00D7773B">
        <w:rPr>
          <w:i/>
          <w:lang w:val="bg-BG"/>
        </w:rPr>
        <w:t>Национална стратегия за детето</w:t>
      </w:r>
      <w:r w:rsidRPr="00D7773B">
        <w:rPr>
          <w:lang w:val="bg-BG"/>
        </w:rPr>
        <w:t xml:space="preserve"> </w:t>
      </w:r>
      <w:r w:rsidRPr="00D7773B">
        <w:rPr>
          <w:i/>
          <w:lang w:val="bg-BG"/>
        </w:rPr>
        <w:t>2008-2018</w:t>
      </w:r>
      <w:r w:rsidRPr="00D7773B">
        <w:rPr>
          <w:i/>
        </w:rPr>
        <w:t xml:space="preserve"> </w:t>
      </w:r>
      <w:r w:rsidRPr="00D7773B">
        <w:rPr>
          <w:i/>
          <w:lang w:val="bg-BG"/>
        </w:rPr>
        <w:t>г.</w:t>
      </w:r>
      <w:r w:rsidRPr="00D7773B">
        <w:t xml:space="preserve">), 31 January 2008, </w:t>
      </w:r>
      <w:hyperlink r:id="rId104" w:history="1">
        <w:r w:rsidRPr="00D7773B">
          <w:rPr>
            <w:rStyle w:val="Hyperlink"/>
          </w:rPr>
          <w:t>http://www.strategy.bg/StrategicDocuments/View.aspx?Id=464</w:t>
        </w:r>
      </w:hyperlink>
      <w:r>
        <w:rPr>
          <w:rStyle w:val="Hyperlink"/>
        </w:rPr>
        <w:t>.</w:t>
      </w:r>
      <w:r w:rsidRPr="005632A5">
        <w:t xml:space="preserve"> </w:t>
      </w:r>
      <w:r w:rsidRPr="00D7773B">
        <w:t>The Strategy explicitly refers to Articles 136 and 137 of the Treaty of Amsterdam and the UN Convention on the Rights of the Child</w:t>
      </w:r>
    </w:p>
  </w:footnote>
  <w:footnote w:id="111">
    <w:p w14:paraId="4408AC92" w14:textId="35AABEB3" w:rsidR="00CD7B2E" w:rsidRPr="0077131A" w:rsidRDefault="00CD7B2E" w:rsidP="0077131A">
      <w:pPr>
        <w:pStyle w:val="FootnoteText"/>
      </w:pPr>
      <w:r>
        <w:rPr>
          <w:rStyle w:val="FootnoteReference"/>
        </w:rPr>
        <w:footnoteRef/>
      </w:r>
      <w:r>
        <w:t xml:space="preserve"> Please see the national programmes at </w:t>
      </w:r>
      <w:hyperlink r:id="rId105" w:history="1">
        <w:r>
          <w:rPr>
            <w:rStyle w:val="Hyperlink"/>
          </w:rPr>
          <w:t>https://sacp.government.bg/%D0%BF%D0%BE%D0%BB%D0%B8%D1%82%D0%B8%D0%BA%D0%B0/%D1%81%D1%82%D1%80%D0%B0%D1%82%D0%B5%D0%B3%D0%B8%D0%B8-%D0%B8-%D0%BF%D1%80%D0%BE%D0%B3%D1%80%D0%B0%D0%BC%D0%B8</w:t>
        </w:r>
      </w:hyperlink>
      <w:r>
        <w:t xml:space="preserve"> and examples of municipal programmes at </w:t>
      </w:r>
      <w:hyperlink r:id="rId106" w:history="1">
        <w:r>
          <w:rPr>
            <w:rStyle w:val="Hyperlink"/>
          </w:rPr>
          <w:t>https://www.burgas.bg/bg/info/index/424</w:t>
        </w:r>
      </w:hyperlink>
      <w:r>
        <w:rPr>
          <w:lang w:val="bg-BG"/>
        </w:rPr>
        <w:t xml:space="preserve"> </w:t>
      </w:r>
      <w:r>
        <w:t xml:space="preserve">and </w:t>
      </w:r>
      <w:hyperlink r:id="rId107" w:history="1">
        <w:r>
          <w:rPr>
            <w:rStyle w:val="Hyperlink"/>
          </w:rPr>
          <w:t>http://www.lyubimets.org/index.php/2010-07-14-13-02-37/4443-2019-3</w:t>
        </w:r>
      </w:hyperlink>
      <w:r>
        <w:t xml:space="preserve"> </w:t>
      </w:r>
    </w:p>
  </w:footnote>
  <w:footnote w:id="112">
    <w:p w14:paraId="79681C1B" w14:textId="5F1EA66A" w:rsidR="00CD7B2E" w:rsidRPr="00D7773B" w:rsidRDefault="00CD7B2E" w:rsidP="0077131A">
      <w:pPr>
        <w:pStyle w:val="FootnoteText"/>
      </w:pPr>
      <w:r w:rsidRPr="00D7773B">
        <w:rPr>
          <w:rStyle w:val="FootnoteReference"/>
        </w:rPr>
        <w:footnoteRef/>
      </w:r>
      <w:r w:rsidRPr="00D7773B">
        <w:t xml:space="preserve"> Bulgaria, Draft National Strategy for the Child 2019-2030 </w:t>
      </w:r>
      <w:r w:rsidRPr="00D7773B">
        <w:rPr>
          <w:i/>
        </w:rPr>
        <w:t>(</w:t>
      </w:r>
      <w:r w:rsidRPr="00D7773B">
        <w:rPr>
          <w:i/>
          <w:lang w:val="bg-BG"/>
        </w:rPr>
        <w:t>Проект на Национална стратегия за детето 2019-2030</w:t>
      </w:r>
      <w:r w:rsidRPr="00D7773B">
        <w:rPr>
          <w:i/>
        </w:rPr>
        <w:t>)</w:t>
      </w:r>
      <w:r w:rsidRPr="00D7773B">
        <w:rPr>
          <w:lang w:val="bg-BG"/>
        </w:rPr>
        <w:t xml:space="preserve">, 10 </w:t>
      </w:r>
      <w:r w:rsidRPr="00D7773B">
        <w:t xml:space="preserve">January 2019, </w:t>
      </w:r>
      <w:hyperlink r:id="rId108" w:history="1">
        <w:r w:rsidRPr="00D7773B">
          <w:rPr>
            <w:rStyle w:val="Hyperlink"/>
          </w:rPr>
          <w:t>https://www.strategy.bg/PublicConsultations/View.aspx?lang=bg-BG&amp;Id=4012</w:t>
        </w:r>
      </w:hyperlink>
      <w:r w:rsidRPr="00D7773B">
        <w:t xml:space="preserve"> </w:t>
      </w:r>
    </w:p>
  </w:footnote>
  <w:footnote w:id="113">
    <w:p w14:paraId="44CE3D9E" w14:textId="3E296D7A" w:rsidR="00CD7B2E" w:rsidRPr="00D7773B" w:rsidRDefault="00CD7B2E" w:rsidP="0077131A">
      <w:pPr>
        <w:pStyle w:val="FootnoteText"/>
      </w:pPr>
      <w:r w:rsidRPr="00D7773B">
        <w:rPr>
          <w:rStyle w:val="FootnoteReference"/>
        </w:rPr>
        <w:footnoteRef/>
      </w:r>
      <w:r w:rsidRPr="00D7773B">
        <w:t xml:space="preserve"> Bulgaria, Council of Ministers of the Republic of Bulgaria (</w:t>
      </w:r>
      <w:r w:rsidRPr="00D7773B">
        <w:rPr>
          <w:i/>
          <w:lang w:val="bg-BG"/>
        </w:rPr>
        <w:t>Министерски съвет на Република България</w:t>
      </w:r>
      <w:r w:rsidRPr="00D7773B">
        <w:rPr>
          <w:lang w:val="bg-BG"/>
        </w:rPr>
        <w:t xml:space="preserve">) (2017) </w:t>
      </w:r>
      <w:r w:rsidRPr="00D7773B">
        <w:t>National Programme for the Prevention of Violence and Abuse of Children (2017-2020) (</w:t>
      </w:r>
      <w:r w:rsidRPr="00D7773B">
        <w:rPr>
          <w:i/>
          <w:lang w:val="bg-BG"/>
        </w:rPr>
        <w:t>Национална програма за превенция на насилието и злоупотребата с деца (2017-2020)</w:t>
      </w:r>
      <w:r w:rsidRPr="00D7773B">
        <w:rPr>
          <w:lang w:val="bg-BG"/>
        </w:rPr>
        <w:t xml:space="preserve">), 09 </w:t>
      </w:r>
      <w:r w:rsidRPr="00D7773B">
        <w:t xml:space="preserve">February 2017, </w:t>
      </w:r>
      <w:hyperlink r:id="rId109" w:history="1">
        <w:r w:rsidRPr="00D7773B">
          <w:rPr>
            <w:rStyle w:val="Hyperlink"/>
          </w:rPr>
          <w:t>http://strategy.bg/StrategicDocuments/View.aspx?lang=bg-BG&amp;Id=1223</w:t>
        </w:r>
      </w:hyperlink>
      <w:r>
        <w:rPr>
          <w:rStyle w:val="Hyperlink"/>
        </w:rPr>
        <w:t>.</w:t>
      </w:r>
      <w:r w:rsidRPr="003B73BE">
        <w:rPr>
          <w:rStyle w:val="Hyperlink"/>
          <w:color w:val="auto"/>
          <w:u w:val="none"/>
        </w:rPr>
        <w:t xml:space="preserve"> The Programme refers to the </w:t>
      </w:r>
      <w:r w:rsidRPr="00D7773B">
        <w:t>Convention on the rights of the child, General comments № 13 (2011), № 8 (2006), № 14 (2013) of the Committee on the Rights of the Child, the Guidelines for the alternative care of children, the CoE Lanzarote Convention, Council of Europe Strategy for the Rights of the Child 2016-2021, Concluding observations and recommendations of the Committee on the Rights of the Child on Bulgaria, UNICEF analyses, NGO reports</w:t>
      </w:r>
    </w:p>
  </w:footnote>
  <w:footnote w:id="114">
    <w:p w14:paraId="2A5E4201" w14:textId="77777777" w:rsidR="00CD7B2E" w:rsidRPr="00D7773B" w:rsidRDefault="00CD7B2E" w:rsidP="0077131A">
      <w:pPr>
        <w:pStyle w:val="FootnoteText"/>
      </w:pPr>
      <w:r w:rsidRPr="00D7773B">
        <w:rPr>
          <w:rStyle w:val="FootnoteReference"/>
        </w:rPr>
        <w:footnoteRef/>
      </w:r>
      <w:r w:rsidRPr="00D7773B">
        <w:t xml:space="preserve"> Bulgaria, Council of Ministers of the Republic of Bulgaria </w:t>
      </w:r>
      <w:r w:rsidRPr="00D7773B">
        <w:rPr>
          <w:i/>
        </w:rPr>
        <w:t>(</w:t>
      </w:r>
      <w:r w:rsidRPr="00D7773B">
        <w:rPr>
          <w:i/>
          <w:lang w:val="bg-BG"/>
        </w:rPr>
        <w:t>Министерски съвет на Република България</w:t>
      </w:r>
      <w:r w:rsidRPr="00D7773B">
        <w:rPr>
          <w:i/>
        </w:rPr>
        <w:t>)</w:t>
      </w:r>
      <w:r w:rsidRPr="00D7773B">
        <w:t xml:space="preserve">(2016) National Mechanism for Referral and Support of Victims of Trafficking </w:t>
      </w:r>
      <w:r w:rsidRPr="00D7773B">
        <w:rPr>
          <w:i/>
        </w:rPr>
        <w:t>(Национален механизъм за насочване и подпомагане на жертви на трафик)</w:t>
      </w:r>
      <w:r w:rsidRPr="00D7773B">
        <w:t xml:space="preserve">, 20 July 2016, </w:t>
      </w:r>
      <w:hyperlink r:id="rId110" w:anchor="national_mechanism" w:history="1">
        <w:r w:rsidRPr="00D7773B">
          <w:rPr>
            <w:rStyle w:val="Hyperlink"/>
          </w:rPr>
          <w:t>https://antitraffic.government.bg/bg/help#national_mechanism</w:t>
        </w:r>
      </w:hyperlink>
      <w:r w:rsidRPr="00D7773B">
        <w:t xml:space="preserve"> </w:t>
      </w:r>
    </w:p>
  </w:footnote>
  <w:footnote w:id="115">
    <w:p w14:paraId="7D16D722" w14:textId="77777777" w:rsidR="00CD7B2E" w:rsidRPr="00D7773B" w:rsidRDefault="00CD7B2E" w:rsidP="0077131A">
      <w:pPr>
        <w:pStyle w:val="FootnoteText"/>
      </w:pPr>
      <w:r w:rsidRPr="00D7773B">
        <w:rPr>
          <w:rStyle w:val="FootnoteReference"/>
        </w:rPr>
        <w:footnoteRef/>
      </w:r>
      <w:r w:rsidRPr="00D7773B">
        <w:t xml:space="preserve"> Bulgaria, Council of Ministers of the Republic of Bulgaria </w:t>
      </w:r>
      <w:r w:rsidRPr="00D7773B">
        <w:rPr>
          <w:i/>
        </w:rPr>
        <w:t>(</w:t>
      </w:r>
      <w:r w:rsidRPr="00D7773B">
        <w:rPr>
          <w:i/>
          <w:lang w:val="bg-BG"/>
        </w:rPr>
        <w:t>Министерски съвет на Република България</w:t>
      </w:r>
      <w:r w:rsidRPr="00D7773B">
        <w:rPr>
          <w:i/>
        </w:rPr>
        <w:t xml:space="preserve">) </w:t>
      </w:r>
      <w:r w:rsidRPr="00D7773B">
        <w:t>(2017)</w:t>
      </w:r>
      <w:r w:rsidRPr="00D7773B">
        <w:rPr>
          <w:i/>
        </w:rPr>
        <w:t xml:space="preserve">, </w:t>
      </w:r>
      <w:r w:rsidRPr="00D7773B">
        <w:t xml:space="preserve">National Strategy for Combatting Trafficking in Human Beings 2017-2021 </w:t>
      </w:r>
      <w:r w:rsidRPr="00D7773B">
        <w:rPr>
          <w:i/>
        </w:rPr>
        <w:t>(</w:t>
      </w:r>
      <w:r w:rsidRPr="00D7773B">
        <w:rPr>
          <w:i/>
          <w:lang w:val="bg-BG"/>
        </w:rPr>
        <w:t>Национална стратегия за борба с трафика на хора 2017-2021</w:t>
      </w:r>
      <w:r w:rsidRPr="00D7773B">
        <w:rPr>
          <w:i/>
        </w:rPr>
        <w:t xml:space="preserve">), </w:t>
      </w:r>
      <w:r w:rsidRPr="00D7773B">
        <w:rPr>
          <w:lang w:val="bg-BG"/>
        </w:rPr>
        <w:t xml:space="preserve">21 </w:t>
      </w:r>
      <w:r w:rsidRPr="00D7773B">
        <w:t xml:space="preserve">July 2017, </w:t>
      </w:r>
      <w:hyperlink r:id="rId111" w:history="1">
        <w:r w:rsidRPr="00D7773B">
          <w:rPr>
            <w:rStyle w:val="Hyperlink"/>
          </w:rPr>
          <w:t>https://www.strategy.bg/StrategicDocuments/View.aspx?lang=bg-BG&amp;Id=1237</w:t>
        </w:r>
      </w:hyperlink>
      <w:r w:rsidRPr="00D7773B">
        <w:t xml:space="preserve"> </w:t>
      </w:r>
    </w:p>
  </w:footnote>
  <w:footnote w:id="116">
    <w:p w14:paraId="5C529ECC" w14:textId="7C87BB2C" w:rsidR="00CD7B2E" w:rsidRPr="00D7773B" w:rsidRDefault="00CD7B2E" w:rsidP="0077131A">
      <w:pPr>
        <w:pStyle w:val="FootnoteText"/>
        <w:rPr>
          <w:lang w:val="bg-BG"/>
        </w:rPr>
      </w:pPr>
      <w:r w:rsidRPr="00D7773B">
        <w:rPr>
          <w:rStyle w:val="FootnoteReference"/>
        </w:rPr>
        <w:footnoteRef/>
      </w:r>
      <w:r w:rsidRPr="00D7773B">
        <w:t xml:space="preserve"> Bulgaria, Co-ordination mechanism for referral and care of unaccompanied Bulgarian children and children victims of trafficking returning from abroad </w:t>
      </w:r>
      <w:r w:rsidRPr="00D7773B">
        <w:rPr>
          <w:i/>
        </w:rPr>
        <w:t>(Координационен механизъм на рефериране и обгрижване на случаи на непридружени български деца и деца-жертви на трафик, завръщащи се от чужбина)</w:t>
      </w:r>
      <w:r w:rsidRPr="00D7773B">
        <w:rPr>
          <w:lang w:val="bg-BG"/>
        </w:rPr>
        <w:t xml:space="preserve">, 2005, </w:t>
      </w:r>
      <w:hyperlink r:id="rId112" w:history="1">
        <w:r w:rsidRPr="00D7773B">
          <w:rPr>
            <w:rStyle w:val="Hyperlink"/>
            <w:lang w:val="bg-BG"/>
          </w:rPr>
          <w:t>https://www.google.com/url?sa=t&amp;rct=j&amp;q=&amp;esrc=s&amp;source=web&amp;cd=2&amp;cad=rja&amp;uact=8&amp;ved=2ahUKEwiB9M_M-JvkAhXDlIsKHcJgAQIQFjABegQIAxAC&amp;url=https%3A%2F%2Fantitraffic.government.bg%2Fuploads%2FUsefulInfo%2FLaw%2F1263815210.doc&amp;usg=AOvVaw0vafRXOzxglWfkFuoKsbuj</w:t>
        </w:r>
      </w:hyperlink>
      <w:r w:rsidRPr="00D7773B">
        <w:rPr>
          <w:lang w:val="bg-BG"/>
        </w:rPr>
        <w:t xml:space="preserve"> </w:t>
      </w:r>
      <w:r w:rsidRPr="00D7773B">
        <w:t xml:space="preserve"> </w:t>
      </w:r>
    </w:p>
  </w:footnote>
  <w:footnote w:id="117">
    <w:p w14:paraId="516C8E4D" w14:textId="77777777" w:rsidR="00CD7B2E" w:rsidRPr="008E576F" w:rsidRDefault="00CD7B2E" w:rsidP="0077131A">
      <w:pPr>
        <w:pStyle w:val="FootnoteText"/>
        <w:rPr>
          <w:lang w:val="bg-BG"/>
        </w:rPr>
      </w:pPr>
      <w:r w:rsidRPr="00D7773B">
        <w:rPr>
          <w:rStyle w:val="FootnoteReference"/>
        </w:rPr>
        <w:footnoteRef/>
      </w:r>
      <w:r w:rsidRPr="008E576F">
        <w:rPr>
          <w:lang w:val="bg-BG"/>
        </w:rPr>
        <w:t xml:space="preserve"> </w:t>
      </w:r>
      <w:r w:rsidRPr="00D7773B">
        <w:t>Bulgaria</w:t>
      </w:r>
      <w:r w:rsidRPr="008E576F">
        <w:rPr>
          <w:lang w:val="bg-BG"/>
        </w:rPr>
        <w:t xml:space="preserve">, </w:t>
      </w:r>
      <w:r w:rsidRPr="00D7773B">
        <w:t>Council</w:t>
      </w:r>
      <w:r w:rsidRPr="008E576F">
        <w:rPr>
          <w:lang w:val="bg-BG"/>
        </w:rPr>
        <w:t xml:space="preserve"> </w:t>
      </w:r>
      <w:r w:rsidRPr="00D7773B">
        <w:t>of</w:t>
      </w:r>
      <w:r w:rsidRPr="008E576F">
        <w:rPr>
          <w:lang w:val="bg-BG"/>
        </w:rPr>
        <w:t xml:space="preserve"> </w:t>
      </w:r>
      <w:r w:rsidRPr="00D7773B">
        <w:t>Ministers</w:t>
      </w:r>
      <w:r w:rsidRPr="008E576F">
        <w:rPr>
          <w:lang w:val="bg-BG"/>
        </w:rPr>
        <w:t xml:space="preserve"> </w:t>
      </w:r>
      <w:r w:rsidRPr="00D7773B">
        <w:t>of</w:t>
      </w:r>
      <w:r w:rsidRPr="008E576F">
        <w:rPr>
          <w:lang w:val="bg-BG"/>
        </w:rPr>
        <w:t xml:space="preserve"> </w:t>
      </w:r>
      <w:r w:rsidRPr="00D7773B">
        <w:t>the</w:t>
      </w:r>
      <w:r w:rsidRPr="008E576F">
        <w:rPr>
          <w:lang w:val="bg-BG"/>
        </w:rPr>
        <w:t xml:space="preserve"> </w:t>
      </w:r>
      <w:r w:rsidRPr="00D7773B">
        <w:t>Republic</w:t>
      </w:r>
      <w:r w:rsidRPr="008E576F">
        <w:rPr>
          <w:lang w:val="bg-BG"/>
        </w:rPr>
        <w:t xml:space="preserve"> </w:t>
      </w:r>
      <w:r w:rsidRPr="00D7773B">
        <w:t>of</w:t>
      </w:r>
      <w:r w:rsidRPr="008E576F">
        <w:rPr>
          <w:lang w:val="bg-BG"/>
        </w:rPr>
        <w:t xml:space="preserve"> </w:t>
      </w:r>
      <w:r w:rsidRPr="00D7773B">
        <w:t>Bulgaria</w:t>
      </w:r>
      <w:r w:rsidRPr="008E576F">
        <w:rPr>
          <w:lang w:val="bg-BG"/>
        </w:rPr>
        <w:t xml:space="preserve"> (</w:t>
      </w:r>
      <w:r w:rsidRPr="00D7773B">
        <w:rPr>
          <w:i/>
          <w:lang w:val="bg-BG"/>
        </w:rPr>
        <w:t>Министерски съвет на Република България</w:t>
      </w:r>
      <w:r w:rsidRPr="00D7773B">
        <w:rPr>
          <w:lang w:val="bg-BG"/>
        </w:rPr>
        <w:t xml:space="preserve">) (2010) </w:t>
      </w:r>
      <w:r w:rsidRPr="00D7773B">
        <w:t>National</w:t>
      </w:r>
      <w:r w:rsidRPr="008E576F">
        <w:rPr>
          <w:lang w:val="bg-BG"/>
        </w:rPr>
        <w:t xml:space="preserve"> </w:t>
      </w:r>
      <w:r w:rsidRPr="00D7773B">
        <w:t>strategy</w:t>
      </w:r>
      <w:r w:rsidRPr="008E576F">
        <w:rPr>
          <w:lang w:val="bg-BG"/>
        </w:rPr>
        <w:t xml:space="preserve"> ‘</w:t>
      </w:r>
      <w:r w:rsidRPr="00D7773B">
        <w:t>Vision</w:t>
      </w:r>
      <w:r w:rsidRPr="008E576F">
        <w:rPr>
          <w:lang w:val="bg-BG"/>
        </w:rPr>
        <w:t xml:space="preserve"> </w:t>
      </w:r>
      <w:r w:rsidRPr="00D7773B">
        <w:t>for</w:t>
      </w:r>
      <w:r w:rsidRPr="008E576F">
        <w:rPr>
          <w:lang w:val="bg-BG"/>
        </w:rPr>
        <w:t xml:space="preserve"> </w:t>
      </w:r>
      <w:r w:rsidRPr="00D7773B">
        <w:t>the</w:t>
      </w:r>
      <w:r w:rsidRPr="008E576F">
        <w:rPr>
          <w:lang w:val="bg-BG"/>
        </w:rPr>
        <w:t xml:space="preserve"> </w:t>
      </w:r>
      <w:r w:rsidRPr="00D7773B">
        <w:t>deinstitutionalisation</w:t>
      </w:r>
      <w:r w:rsidRPr="008E576F">
        <w:rPr>
          <w:lang w:val="bg-BG"/>
        </w:rPr>
        <w:t xml:space="preserve"> </w:t>
      </w:r>
      <w:r w:rsidRPr="00D7773B">
        <w:t>of</w:t>
      </w:r>
      <w:r w:rsidRPr="008E576F">
        <w:rPr>
          <w:lang w:val="bg-BG"/>
        </w:rPr>
        <w:t xml:space="preserve"> </w:t>
      </w:r>
      <w:r w:rsidRPr="00D7773B">
        <w:t>children</w:t>
      </w:r>
      <w:r w:rsidRPr="008E576F">
        <w:rPr>
          <w:lang w:val="bg-BG"/>
        </w:rPr>
        <w:t xml:space="preserve"> </w:t>
      </w:r>
      <w:r w:rsidRPr="00D7773B">
        <w:t>in</w:t>
      </w:r>
      <w:r w:rsidRPr="008E576F">
        <w:rPr>
          <w:lang w:val="bg-BG"/>
        </w:rPr>
        <w:t xml:space="preserve"> </w:t>
      </w:r>
      <w:r w:rsidRPr="00D7773B">
        <w:t>the</w:t>
      </w:r>
      <w:r w:rsidRPr="008E576F">
        <w:rPr>
          <w:lang w:val="bg-BG"/>
        </w:rPr>
        <w:t xml:space="preserve"> </w:t>
      </w:r>
      <w:r w:rsidRPr="00D7773B">
        <w:t>Republic</w:t>
      </w:r>
      <w:r w:rsidRPr="008E576F">
        <w:rPr>
          <w:lang w:val="bg-BG"/>
        </w:rPr>
        <w:t xml:space="preserve"> </w:t>
      </w:r>
      <w:r w:rsidRPr="00D7773B">
        <w:t>of</w:t>
      </w:r>
      <w:r w:rsidRPr="008E576F">
        <w:rPr>
          <w:lang w:val="bg-BG"/>
        </w:rPr>
        <w:t xml:space="preserve"> </w:t>
      </w:r>
      <w:r w:rsidRPr="00D7773B">
        <w:t>Bulgaria</w:t>
      </w:r>
      <w:r w:rsidRPr="008E576F">
        <w:rPr>
          <w:lang w:val="bg-BG"/>
        </w:rPr>
        <w:t>’ (</w:t>
      </w:r>
      <w:r w:rsidRPr="00D7773B">
        <w:rPr>
          <w:i/>
          <w:lang w:val="bg-BG"/>
        </w:rPr>
        <w:t>Национална стратегия „Визия за деинститутицонализацията на децата в Република България“</w:t>
      </w:r>
      <w:r w:rsidRPr="00D7773B">
        <w:rPr>
          <w:lang w:val="bg-BG"/>
        </w:rPr>
        <w:t>, 24</w:t>
      </w:r>
      <w:r w:rsidRPr="008E576F">
        <w:rPr>
          <w:lang w:val="bg-BG"/>
        </w:rPr>
        <w:t xml:space="preserve"> </w:t>
      </w:r>
      <w:r w:rsidRPr="00D7773B">
        <w:t>February</w:t>
      </w:r>
      <w:r w:rsidRPr="008E576F">
        <w:rPr>
          <w:lang w:val="bg-BG"/>
        </w:rPr>
        <w:t xml:space="preserve"> 2010, </w:t>
      </w:r>
      <w:hyperlink r:id="rId113" w:history="1">
        <w:r w:rsidRPr="00D7773B">
          <w:rPr>
            <w:rStyle w:val="Hyperlink"/>
          </w:rPr>
          <w:t>https</w:t>
        </w:r>
        <w:r w:rsidRPr="008E576F">
          <w:rPr>
            <w:rStyle w:val="Hyperlink"/>
            <w:lang w:val="bg-BG"/>
          </w:rPr>
          <w:t>://</w:t>
        </w:r>
        <w:r w:rsidRPr="00D7773B">
          <w:rPr>
            <w:rStyle w:val="Hyperlink"/>
          </w:rPr>
          <w:t>www</w:t>
        </w:r>
        <w:r w:rsidRPr="008E576F">
          <w:rPr>
            <w:rStyle w:val="Hyperlink"/>
            <w:lang w:val="bg-BG"/>
          </w:rPr>
          <w:t>.</w:t>
        </w:r>
        <w:r w:rsidRPr="00D7773B">
          <w:rPr>
            <w:rStyle w:val="Hyperlink"/>
          </w:rPr>
          <w:t>strategy</w:t>
        </w:r>
        <w:r w:rsidRPr="008E576F">
          <w:rPr>
            <w:rStyle w:val="Hyperlink"/>
            <w:lang w:val="bg-BG"/>
          </w:rPr>
          <w:t>.</w:t>
        </w:r>
        <w:r w:rsidRPr="00D7773B">
          <w:rPr>
            <w:rStyle w:val="Hyperlink"/>
          </w:rPr>
          <w:t>bg</w:t>
        </w:r>
        <w:r w:rsidRPr="008E576F">
          <w:rPr>
            <w:rStyle w:val="Hyperlink"/>
            <w:lang w:val="bg-BG"/>
          </w:rPr>
          <w:t>/</w:t>
        </w:r>
        <w:r w:rsidRPr="00D7773B">
          <w:rPr>
            <w:rStyle w:val="Hyperlink"/>
          </w:rPr>
          <w:t>StrategicDocuments</w:t>
        </w:r>
        <w:r w:rsidRPr="008E576F">
          <w:rPr>
            <w:rStyle w:val="Hyperlink"/>
            <w:lang w:val="bg-BG"/>
          </w:rPr>
          <w:t>/</w:t>
        </w:r>
        <w:r w:rsidRPr="00D7773B">
          <w:rPr>
            <w:rStyle w:val="Hyperlink"/>
          </w:rPr>
          <w:t>View</w:t>
        </w:r>
        <w:r w:rsidRPr="008E576F">
          <w:rPr>
            <w:rStyle w:val="Hyperlink"/>
            <w:lang w:val="bg-BG"/>
          </w:rPr>
          <w:t>.</w:t>
        </w:r>
        <w:r w:rsidRPr="00D7773B">
          <w:rPr>
            <w:rStyle w:val="Hyperlink"/>
          </w:rPr>
          <w:t>aspx</w:t>
        </w:r>
        <w:r w:rsidRPr="008E576F">
          <w:rPr>
            <w:rStyle w:val="Hyperlink"/>
            <w:lang w:val="bg-BG"/>
          </w:rPr>
          <w:t>?</w:t>
        </w:r>
        <w:r w:rsidRPr="00D7773B">
          <w:rPr>
            <w:rStyle w:val="Hyperlink"/>
          </w:rPr>
          <w:t>lang</w:t>
        </w:r>
        <w:r w:rsidRPr="008E576F">
          <w:rPr>
            <w:rStyle w:val="Hyperlink"/>
            <w:lang w:val="bg-BG"/>
          </w:rPr>
          <w:t>=</w:t>
        </w:r>
        <w:r w:rsidRPr="00D7773B">
          <w:rPr>
            <w:rStyle w:val="Hyperlink"/>
          </w:rPr>
          <w:t>bg</w:t>
        </w:r>
        <w:r w:rsidRPr="008E576F">
          <w:rPr>
            <w:rStyle w:val="Hyperlink"/>
            <w:lang w:val="bg-BG"/>
          </w:rPr>
          <w:t>-</w:t>
        </w:r>
        <w:r w:rsidRPr="00D7773B">
          <w:rPr>
            <w:rStyle w:val="Hyperlink"/>
          </w:rPr>
          <w:t>BG</w:t>
        </w:r>
        <w:r w:rsidRPr="008E576F">
          <w:rPr>
            <w:rStyle w:val="Hyperlink"/>
            <w:lang w:val="bg-BG"/>
          </w:rPr>
          <w:t>&amp;</w:t>
        </w:r>
        <w:r w:rsidRPr="00D7773B">
          <w:rPr>
            <w:rStyle w:val="Hyperlink"/>
          </w:rPr>
          <w:t>Id</w:t>
        </w:r>
        <w:r w:rsidRPr="008E576F">
          <w:rPr>
            <w:rStyle w:val="Hyperlink"/>
            <w:lang w:val="bg-BG"/>
          </w:rPr>
          <w:t>=601</w:t>
        </w:r>
      </w:hyperlink>
    </w:p>
  </w:footnote>
  <w:footnote w:id="118">
    <w:p w14:paraId="5C4548C6" w14:textId="77777777" w:rsidR="00CD7B2E" w:rsidRPr="008E576F" w:rsidRDefault="00CD7B2E" w:rsidP="0077131A">
      <w:pPr>
        <w:pStyle w:val="FootnoteText"/>
        <w:rPr>
          <w:lang w:val="bg-BG"/>
        </w:rPr>
      </w:pPr>
      <w:r w:rsidRPr="00D7773B">
        <w:rPr>
          <w:rStyle w:val="FootnoteReference"/>
        </w:rPr>
        <w:footnoteRef/>
      </w:r>
      <w:r w:rsidRPr="008E576F">
        <w:rPr>
          <w:lang w:val="bg-BG"/>
        </w:rPr>
        <w:t xml:space="preserve"> </w:t>
      </w:r>
      <w:r w:rsidRPr="00D7773B">
        <w:t>Bulgaria</w:t>
      </w:r>
      <w:r w:rsidRPr="008E576F">
        <w:rPr>
          <w:lang w:val="bg-BG"/>
        </w:rPr>
        <w:t xml:space="preserve">, </w:t>
      </w:r>
      <w:r w:rsidRPr="00D7773B">
        <w:t>Council</w:t>
      </w:r>
      <w:r w:rsidRPr="008E576F">
        <w:rPr>
          <w:lang w:val="bg-BG"/>
        </w:rPr>
        <w:t xml:space="preserve"> </w:t>
      </w:r>
      <w:r w:rsidRPr="00D7773B">
        <w:t>of</w:t>
      </w:r>
      <w:r w:rsidRPr="008E576F">
        <w:rPr>
          <w:lang w:val="bg-BG"/>
        </w:rPr>
        <w:t xml:space="preserve"> </w:t>
      </w:r>
      <w:r w:rsidRPr="00D7773B">
        <w:t>Ministers</w:t>
      </w:r>
      <w:r w:rsidRPr="008E576F">
        <w:rPr>
          <w:lang w:val="bg-BG"/>
        </w:rPr>
        <w:t xml:space="preserve"> </w:t>
      </w:r>
      <w:r w:rsidRPr="00D7773B">
        <w:t>of</w:t>
      </w:r>
      <w:r w:rsidRPr="008E576F">
        <w:rPr>
          <w:lang w:val="bg-BG"/>
        </w:rPr>
        <w:t xml:space="preserve"> </w:t>
      </w:r>
      <w:r w:rsidRPr="00D7773B">
        <w:t>the</w:t>
      </w:r>
      <w:r w:rsidRPr="008E576F">
        <w:rPr>
          <w:lang w:val="bg-BG"/>
        </w:rPr>
        <w:t xml:space="preserve"> </w:t>
      </w:r>
      <w:r w:rsidRPr="00D7773B">
        <w:t>Republic</w:t>
      </w:r>
      <w:r w:rsidRPr="008E576F">
        <w:rPr>
          <w:lang w:val="bg-BG"/>
        </w:rPr>
        <w:t xml:space="preserve"> </w:t>
      </w:r>
      <w:r w:rsidRPr="00D7773B">
        <w:t>of</w:t>
      </w:r>
      <w:r w:rsidRPr="008E576F">
        <w:rPr>
          <w:lang w:val="bg-BG"/>
        </w:rPr>
        <w:t xml:space="preserve"> </w:t>
      </w:r>
      <w:r w:rsidRPr="00D7773B">
        <w:t>Bulgaria</w:t>
      </w:r>
      <w:r w:rsidRPr="008E576F">
        <w:rPr>
          <w:lang w:val="bg-BG"/>
        </w:rPr>
        <w:t xml:space="preserve"> (</w:t>
      </w:r>
      <w:r w:rsidRPr="00D7773B">
        <w:rPr>
          <w:i/>
          <w:lang w:val="bg-BG"/>
        </w:rPr>
        <w:t>Министерски съвет на Република България</w:t>
      </w:r>
      <w:r w:rsidRPr="00D7773B">
        <w:rPr>
          <w:lang w:val="bg-BG"/>
        </w:rPr>
        <w:t>)</w:t>
      </w:r>
      <w:r w:rsidRPr="008E576F">
        <w:rPr>
          <w:lang w:val="bg-BG"/>
        </w:rPr>
        <w:t xml:space="preserve"> (2013) </w:t>
      </w:r>
      <w:r w:rsidRPr="00D7773B">
        <w:t>National</w:t>
      </w:r>
      <w:r w:rsidRPr="008E576F">
        <w:rPr>
          <w:lang w:val="bg-BG"/>
        </w:rPr>
        <w:t xml:space="preserve"> </w:t>
      </w:r>
      <w:r w:rsidRPr="00D7773B">
        <w:t>Strategy</w:t>
      </w:r>
      <w:r w:rsidRPr="008E576F">
        <w:rPr>
          <w:lang w:val="bg-BG"/>
        </w:rPr>
        <w:t xml:space="preserve"> </w:t>
      </w:r>
      <w:r w:rsidRPr="00D7773B">
        <w:t>for</w:t>
      </w:r>
      <w:r w:rsidRPr="008E576F">
        <w:rPr>
          <w:lang w:val="bg-BG"/>
        </w:rPr>
        <w:t xml:space="preserve"> </w:t>
      </w:r>
      <w:r w:rsidRPr="00D7773B">
        <w:t>Reducing</w:t>
      </w:r>
      <w:r w:rsidRPr="008E576F">
        <w:rPr>
          <w:lang w:val="bg-BG"/>
        </w:rPr>
        <w:t xml:space="preserve"> </w:t>
      </w:r>
      <w:r w:rsidRPr="00D7773B">
        <w:t>Poverty</w:t>
      </w:r>
      <w:r w:rsidRPr="008E576F">
        <w:rPr>
          <w:lang w:val="bg-BG"/>
        </w:rPr>
        <w:t xml:space="preserve"> </w:t>
      </w:r>
      <w:r w:rsidRPr="00D7773B">
        <w:t>and</w:t>
      </w:r>
      <w:r w:rsidRPr="008E576F">
        <w:rPr>
          <w:lang w:val="bg-BG"/>
        </w:rPr>
        <w:t xml:space="preserve"> </w:t>
      </w:r>
      <w:r w:rsidRPr="00D7773B">
        <w:t>Promoting</w:t>
      </w:r>
      <w:r w:rsidRPr="008E576F">
        <w:rPr>
          <w:lang w:val="bg-BG"/>
        </w:rPr>
        <w:t xml:space="preserve"> </w:t>
      </w:r>
      <w:r w:rsidRPr="00D7773B">
        <w:t>Social</w:t>
      </w:r>
      <w:r w:rsidRPr="008E576F">
        <w:rPr>
          <w:lang w:val="bg-BG"/>
        </w:rPr>
        <w:t xml:space="preserve"> </w:t>
      </w:r>
      <w:r w:rsidRPr="00D7773B">
        <w:t>Inclusion</w:t>
      </w:r>
      <w:r w:rsidRPr="008E576F">
        <w:rPr>
          <w:lang w:val="bg-BG"/>
        </w:rPr>
        <w:t xml:space="preserve"> (</w:t>
      </w:r>
      <w:r w:rsidRPr="00D7773B">
        <w:rPr>
          <w:i/>
          <w:lang w:val="bg-BG"/>
        </w:rPr>
        <w:t>Национална стратегия за намаляване на бедността и насърчаване на социалното включване</w:t>
      </w:r>
      <w:r w:rsidRPr="00D7773B">
        <w:rPr>
          <w:lang w:val="bg-BG"/>
        </w:rPr>
        <w:t>)</w:t>
      </w:r>
      <w:r w:rsidRPr="008E576F">
        <w:rPr>
          <w:lang w:val="bg-BG"/>
        </w:rPr>
        <w:t xml:space="preserve">, 06 </w:t>
      </w:r>
      <w:r w:rsidRPr="00D7773B">
        <w:t>February</w:t>
      </w:r>
      <w:r w:rsidRPr="008E576F">
        <w:rPr>
          <w:lang w:val="bg-BG"/>
        </w:rPr>
        <w:t xml:space="preserve"> 2013, </w:t>
      </w:r>
      <w:hyperlink r:id="rId114" w:history="1">
        <w:r w:rsidRPr="00D7773B">
          <w:rPr>
            <w:rStyle w:val="Hyperlink"/>
          </w:rPr>
          <w:t>http</w:t>
        </w:r>
        <w:r w:rsidRPr="008E576F">
          <w:rPr>
            <w:rStyle w:val="Hyperlink"/>
            <w:lang w:val="bg-BG"/>
          </w:rPr>
          <w:t>://</w:t>
        </w:r>
        <w:r w:rsidRPr="00D7773B">
          <w:rPr>
            <w:rStyle w:val="Hyperlink"/>
          </w:rPr>
          <w:t>strategy</w:t>
        </w:r>
        <w:r w:rsidRPr="008E576F">
          <w:rPr>
            <w:rStyle w:val="Hyperlink"/>
            <w:lang w:val="bg-BG"/>
          </w:rPr>
          <w:t>.</w:t>
        </w:r>
        <w:r w:rsidRPr="00D7773B">
          <w:rPr>
            <w:rStyle w:val="Hyperlink"/>
          </w:rPr>
          <w:t>bg</w:t>
        </w:r>
        <w:r w:rsidRPr="008E576F">
          <w:rPr>
            <w:rStyle w:val="Hyperlink"/>
            <w:lang w:val="bg-BG"/>
          </w:rPr>
          <w:t>/</w:t>
        </w:r>
        <w:r w:rsidRPr="00D7773B">
          <w:rPr>
            <w:rStyle w:val="Hyperlink"/>
          </w:rPr>
          <w:t>StrategicDocuments</w:t>
        </w:r>
        <w:r w:rsidRPr="008E576F">
          <w:rPr>
            <w:rStyle w:val="Hyperlink"/>
            <w:lang w:val="bg-BG"/>
          </w:rPr>
          <w:t>/</w:t>
        </w:r>
        <w:r w:rsidRPr="00D7773B">
          <w:rPr>
            <w:rStyle w:val="Hyperlink"/>
          </w:rPr>
          <w:t>View</w:t>
        </w:r>
        <w:r w:rsidRPr="008E576F">
          <w:rPr>
            <w:rStyle w:val="Hyperlink"/>
            <w:lang w:val="bg-BG"/>
          </w:rPr>
          <w:t>.</w:t>
        </w:r>
        <w:r w:rsidRPr="00D7773B">
          <w:rPr>
            <w:rStyle w:val="Hyperlink"/>
          </w:rPr>
          <w:t>aspx</w:t>
        </w:r>
        <w:r w:rsidRPr="008E576F">
          <w:rPr>
            <w:rStyle w:val="Hyperlink"/>
            <w:lang w:val="bg-BG"/>
          </w:rPr>
          <w:t>?</w:t>
        </w:r>
        <w:r w:rsidRPr="00D7773B">
          <w:rPr>
            <w:rStyle w:val="Hyperlink"/>
          </w:rPr>
          <w:t>lang</w:t>
        </w:r>
        <w:r w:rsidRPr="008E576F">
          <w:rPr>
            <w:rStyle w:val="Hyperlink"/>
            <w:lang w:val="bg-BG"/>
          </w:rPr>
          <w:t>=</w:t>
        </w:r>
        <w:r w:rsidRPr="00D7773B">
          <w:rPr>
            <w:rStyle w:val="Hyperlink"/>
          </w:rPr>
          <w:t>bg</w:t>
        </w:r>
        <w:r w:rsidRPr="008E576F">
          <w:rPr>
            <w:rStyle w:val="Hyperlink"/>
            <w:lang w:val="bg-BG"/>
          </w:rPr>
          <w:t>-</w:t>
        </w:r>
        <w:r w:rsidRPr="00D7773B">
          <w:rPr>
            <w:rStyle w:val="Hyperlink"/>
          </w:rPr>
          <w:t>BG</w:t>
        </w:r>
        <w:r w:rsidRPr="008E576F">
          <w:rPr>
            <w:rStyle w:val="Hyperlink"/>
            <w:lang w:val="bg-BG"/>
          </w:rPr>
          <w:t>&amp;</w:t>
        </w:r>
        <w:r w:rsidRPr="00D7773B">
          <w:rPr>
            <w:rStyle w:val="Hyperlink"/>
          </w:rPr>
          <w:t>Id</w:t>
        </w:r>
        <w:r w:rsidRPr="008E576F">
          <w:rPr>
            <w:rStyle w:val="Hyperlink"/>
            <w:lang w:val="bg-BG"/>
          </w:rPr>
          <w:t>=790</w:t>
        </w:r>
      </w:hyperlink>
    </w:p>
  </w:footnote>
  <w:footnote w:id="119">
    <w:p w14:paraId="52B652CC" w14:textId="77777777" w:rsidR="00CD7B2E" w:rsidRPr="00D7773B" w:rsidRDefault="00CD7B2E" w:rsidP="0077131A">
      <w:pPr>
        <w:pStyle w:val="FootnoteText"/>
      </w:pPr>
      <w:r w:rsidRPr="00D7773B">
        <w:rPr>
          <w:rStyle w:val="FootnoteReference"/>
        </w:rPr>
        <w:footnoteRef/>
      </w:r>
      <w:r w:rsidRPr="008E576F">
        <w:rPr>
          <w:lang w:val="bg-BG"/>
        </w:rPr>
        <w:t xml:space="preserve"> </w:t>
      </w:r>
      <w:r w:rsidRPr="00D7773B">
        <w:t>Bulgaria</w:t>
      </w:r>
      <w:r w:rsidRPr="008E576F">
        <w:rPr>
          <w:lang w:val="bg-BG"/>
        </w:rPr>
        <w:t xml:space="preserve">, </w:t>
      </w:r>
      <w:r w:rsidRPr="00D7773B">
        <w:t>Bulgarian</w:t>
      </w:r>
      <w:r w:rsidRPr="008E576F">
        <w:rPr>
          <w:lang w:val="bg-BG"/>
        </w:rPr>
        <w:t xml:space="preserve"> </w:t>
      </w:r>
      <w:r w:rsidRPr="00D7773B">
        <w:t>Helsinki</w:t>
      </w:r>
      <w:r w:rsidRPr="008E576F">
        <w:rPr>
          <w:lang w:val="bg-BG"/>
        </w:rPr>
        <w:t xml:space="preserve"> </w:t>
      </w:r>
      <w:r w:rsidRPr="00D7773B">
        <w:t>Committee</w:t>
      </w:r>
      <w:r w:rsidRPr="008E576F">
        <w:rPr>
          <w:lang w:val="bg-BG"/>
        </w:rPr>
        <w:t xml:space="preserve"> </w:t>
      </w:r>
      <w:r w:rsidRPr="008E576F">
        <w:rPr>
          <w:i/>
          <w:lang w:val="bg-BG"/>
        </w:rPr>
        <w:t>(</w:t>
      </w:r>
      <w:r w:rsidRPr="00D7773B">
        <w:rPr>
          <w:i/>
          <w:lang w:val="bg-BG"/>
        </w:rPr>
        <w:t>Български хелзинкски комитет</w:t>
      </w:r>
      <w:r w:rsidRPr="008E576F">
        <w:rPr>
          <w:i/>
          <w:lang w:val="bg-BG"/>
        </w:rPr>
        <w:t>)</w:t>
      </w:r>
      <w:r w:rsidRPr="00D7773B">
        <w:rPr>
          <w:i/>
          <w:lang w:val="bg-BG"/>
        </w:rPr>
        <w:t xml:space="preserve"> </w:t>
      </w:r>
      <w:r w:rsidRPr="00D7773B">
        <w:rPr>
          <w:lang w:val="bg-BG"/>
        </w:rPr>
        <w:t xml:space="preserve">(2019) </w:t>
      </w:r>
      <w:r w:rsidRPr="00D7773B">
        <w:t>Human</w:t>
      </w:r>
      <w:r w:rsidRPr="008E576F">
        <w:rPr>
          <w:lang w:val="bg-BG"/>
        </w:rPr>
        <w:t xml:space="preserve"> </w:t>
      </w:r>
      <w:r w:rsidRPr="00D7773B">
        <w:t>Rights</w:t>
      </w:r>
      <w:r w:rsidRPr="008E576F">
        <w:rPr>
          <w:lang w:val="bg-BG"/>
        </w:rPr>
        <w:t xml:space="preserve"> </w:t>
      </w:r>
      <w:r w:rsidRPr="00D7773B">
        <w:t>in</w:t>
      </w:r>
      <w:r w:rsidRPr="008E576F">
        <w:rPr>
          <w:lang w:val="bg-BG"/>
        </w:rPr>
        <w:t xml:space="preserve"> </w:t>
      </w:r>
      <w:r w:rsidRPr="00D7773B">
        <w:t>Bulgaria</w:t>
      </w:r>
      <w:r w:rsidRPr="008E576F">
        <w:rPr>
          <w:lang w:val="bg-BG"/>
        </w:rPr>
        <w:t xml:space="preserve"> </w:t>
      </w:r>
      <w:r w:rsidRPr="00D7773B">
        <w:t>in</w:t>
      </w:r>
      <w:r w:rsidRPr="008E576F">
        <w:rPr>
          <w:lang w:val="bg-BG"/>
        </w:rPr>
        <w:t xml:space="preserve"> 2018 </w:t>
      </w:r>
      <w:r w:rsidRPr="008E576F">
        <w:rPr>
          <w:i/>
          <w:lang w:val="bg-BG"/>
        </w:rPr>
        <w:t>(</w:t>
      </w:r>
      <w:r w:rsidRPr="00D7773B">
        <w:rPr>
          <w:i/>
          <w:lang w:val="bg-BG"/>
        </w:rPr>
        <w:t>Правата на човека в България през 2018 г.</w:t>
      </w:r>
      <w:r w:rsidRPr="008E576F">
        <w:rPr>
          <w:i/>
          <w:lang w:val="bg-BG"/>
        </w:rPr>
        <w:t>)</w:t>
      </w:r>
      <w:r w:rsidRPr="00D7773B">
        <w:rPr>
          <w:rStyle w:val="Hyperlink"/>
          <w:lang w:val="bg-BG"/>
        </w:rPr>
        <w:t xml:space="preserve"> </w:t>
      </w:r>
      <w:hyperlink r:id="rId115" w:history="1">
        <w:r w:rsidRPr="00D7773B">
          <w:rPr>
            <w:rStyle w:val="Hyperlink"/>
          </w:rPr>
          <w:t>https://www.bghelsinki.org/media/uploads/annual_reports/annual-bhc-report-2018-issn-2367-6930-bg.pdf</w:t>
        </w:r>
      </w:hyperlink>
    </w:p>
  </w:footnote>
  <w:footnote w:id="120">
    <w:p w14:paraId="570784B8" w14:textId="77777777" w:rsidR="00CD7B2E" w:rsidRPr="00D7773B" w:rsidRDefault="00CD7B2E" w:rsidP="0077131A">
      <w:pPr>
        <w:pStyle w:val="FootnoteText"/>
      </w:pPr>
      <w:r w:rsidRPr="00D7773B">
        <w:rPr>
          <w:rStyle w:val="FootnoteReference"/>
        </w:rPr>
        <w:footnoteRef/>
      </w:r>
      <w:r w:rsidRPr="00D7773B">
        <w:t xml:space="preserve"> Bulgaria, For Our Children Foundation (</w:t>
      </w:r>
      <w:r w:rsidRPr="00D7773B">
        <w:rPr>
          <w:i/>
          <w:lang w:val="bg-BG"/>
        </w:rPr>
        <w:t>Фондация „За Нашите Деца“</w:t>
      </w:r>
      <w:r w:rsidRPr="00D7773B">
        <w:rPr>
          <w:lang w:val="bg-BG"/>
        </w:rPr>
        <w:t xml:space="preserve">) </w:t>
      </w:r>
      <w:r w:rsidRPr="00D7773B">
        <w:t xml:space="preserve">For Our Children Foundation Annual Report 2018, </w:t>
      </w:r>
      <w:hyperlink r:id="rId116" w:history="1">
        <w:r w:rsidRPr="00D7773B">
          <w:rPr>
            <w:rStyle w:val="Hyperlink"/>
          </w:rPr>
          <w:t>https://detebg.org/wp-content//uploads/2019/06/ANNUAL-REPORT_PRINT.pdf</w:t>
        </w:r>
      </w:hyperlink>
    </w:p>
  </w:footnote>
  <w:footnote w:id="121">
    <w:p w14:paraId="6AEA3C7A" w14:textId="6AD64054" w:rsidR="00CD7B2E" w:rsidRPr="00D7773B" w:rsidRDefault="00CD7B2E" w:rsidP="0077131A">
      <w:pPr>
        <w:pStyle w:val="FootnoteText"/>
      </w:pPr>
      <w:r w:rsidRPr="00D7773B">
        <w:rPr>
          <w:rStyle w:val="FootnoteReference"/>
        </w:rPr>
        <w:footnoteRef/>
      </w:r>
      <w:r w:rsidRPr="00D7773B">
        <w:t xml:space="preserve"> Please see more at </w:t>
      </w:r>
      <w:hyperlink r:id="rId117" w:history="1">
        <w:r w:rsidRPr="00D7773B">
          <w:rPr>
            <w:rStyle w:val="Hyperlink"/>
          </w:rPr>
          <w:t>https://www.safenet.bg/bg/</w:t>
        </w:r>
      </w:hyperlink>
      <w:r w:rsidRPr="00D7773B">
        <w:rPr>
          <w:rStyle w:val="Hyperlink"/>
          <w:lang w:val="bg-BG"/>
        </w:rPr>
        <w:t xml:space="preserve"> </w:t>
      </w:r>
      <w:r w:rsidRPr="00D7773B">
        <w:t xml:space="preserve"> </w:t>
      </w:r>
    </w:p>
  </w:footnote>
  <w:footnote w:id="122">
    <w:p w14:paraId="213CF4F5" w14:textId="3925E811" w:rsidR="00CD7B2E" w:rsidRPr="00D75390" w:rsidRDefault="00CD7B2E" w:rsidP="0077131A">
      <w:pPr>
        <w:pStyle w:val="FootnoteText"/>
      </w:pPr>
      <w:r>
        <w:rPr>
          <w:rStyle w:val="FootnoteReference"/>
        </w:rPr>
        <w:footnoteRef/>
      </w:r>
      <w:r>
        <w:t xml:space="preserve"> Please see more at </w:t>
      </w:r>
      <w:hyperlink r:id="rId118" w:history="1">
        <w:r>
          <w:rPr>
            <w:rStyle w:val="Hyperlink"/>
          </w:rPr>
          <w:t>http://mpes.government.bg/Pages/Programmes/Default.aspx?evntid=tHQzKQ5zVw0%3D</w:t>
        </w:r>
      </w:hyperlink>
      <w:r>
        <w:t xml:space="preserve"> </w:t>
      </w:r>
    </w:p>
  </w:footnote>
  <w:footnote w:id="123">
    <w:p w14:paraId="4B2A1582" w14:textId="77314391" w:rsidR="00CD7B2E" w:rsidRPr="00D7773B" w:rsidRDefault="00CD7B2E" w:rsidP="0077131A">
      <w:pPr>
        <w:pStyle w:val="FootnoteText"/>
        <w:rPr>
          <w:lang w:val="bg-BG"/>
        </w:rPr>
      </w:pPr>
      <w:r w:rsidRPr="00D7773B">
        <w:rPr>
          <w:rStyle w:val="FootnoteReference"/>
        </w:rPr>
        <w:footnoteRef/>
      </w:r>
      <w:r w:rsidRPr="00D7773B">
        <w:rPr>
          <w:lang w:val="bg-BG"/>
        </w:rPr>
        <w:t xml:space="preserve"> </w:t>
      </w:r>
      <w:r w:rsidRPr="00D7773B">
        <w:t xml:space="preserve">Bulgaria, Council of Ministers </w:t>
      </w:r>
      <w:r w:rsidRPr="00D7773B">
        <w:rPr>
          <w:i/>
        </w:rPr>
        <w:t>(</w:t>
      </w:r>
      <w:r w:rsidRPr="00D7773B">
        <w:rPr>
          <w:i/>
          <w:lang w:val="bg-BG"/>
        </w:rPr>
        <w:t>Министерски съвет на Република България</w:t>
      </w:r>
      <w:r w:rsidRPr="00D7773B">
        <w:rPr>
          <w:i/>
        </w:rPr>
        <w:t>)</w:t>
      </w:r>
      <w:r w:rsidRPr="00D7773B">
        <w:rPr>
          <w:lang w:val="bg-BG"/>
        </w:rPr>
        <w:t>,</w:t>
      </w:r>
      <w:r w:rsidRPr="00D7773B">
        <w:t xml:space="preserve"> National Strategy for Persons with Disabilities, 7 July 2016, </w:t>
      </w:r>
      <w:hyperlink r:id="rId119" w:history="1">
        <w:r w:rsidRPr="00D7773B">
          <w:rPr>
            <w:rStyle w:val="Hyperlink"/>
          </w:rPr>
          <w:t>http://strategy.bg/StrategicDocuments/View.aspx?lang=bg-BG&amp;Id=1048</w:t>
        </w:r>
      </w:hyperlink>
      <w:r w:rsidRPr="00D7773B">
        <w:rPr>
          <w:rStyle w:val="Hyperlink"/>
        </w:rPr>
        <w:t xml:space="preserve"> </w:t>
      </w:r>
      <w:r w:rsidRPr="00D7773B">
        <w:rPr>
          <w:rStyle w:val="Hyperlink"/>
          <w:color w:val="auto"/>
          <w:u w:val="none"/>
        </w:rPr>
        <w:t>The goals and priorities of the National Strategy were formulated in accordance with, among others, the European Disability Strategy 2010-2020, the national commitments on the implementation of the ratified Convention on the Rights of Persons with Disabilities, the European Social Charter /revised/, the Action Plan to promote the rights and full participation in society of people with disabilities: improving the quality of life of people with disabilities in Europe 2006 - 2015 of the Council of Europe, the Code of Good Practice for the Employment of People with Disabilities and the EU Charter of Fundamental Rights (Articles 1, 21, 26).</w:t>
      </w:r>
    </w:p>
  </w:footnote>
  <w:footnote w:id="124">
    <w:p w14:paraId="58091132" w14:textId="77777777" w:rsidR="00CD7B2E" w:rsidRPr="008E576F" w:rsidRDefault="00CD7B2E" w:rsidP="0077131A">
      <w:pPr>
        <w:pStyle w:val="FootnoteText"/>
        <w:rPr>
          <w:lang w:val="bg-BG"/>
        </w:rPr>
      </w:pPr>
      <w:r w:rsidRPr="00D7773B">
        <w:rPr>
          <w:rStyle w:val="FootnoteReference"/>
        </w:rPr>
        <w:footnoteRef/>
      </w:r>
      <w:r w:rsidRPr="008E576F">
        <w:rPr>
          <w:lang w:val="bg-BG"/>
        </w:rPr>
        <w:t xml:space="preserve"> </w:t>
      </w:r>
      <w:r w:rsidRPr="00D7773B">
        <w:t>Bulgaria</w:t>
      </w:r>
      <w:r w:rsidRPr="008E576F">
        <w:rPr>
          <w:lang w:val="bg-BG"/>
        </w:rPr>
        <w:t xml:space="preserve">, </w:t>
      </w:r>
      <w:r w:rsidRPr="00D7773B">
        <w:t>Council</w:t>
      </w:r>
      <w:r w:rsidRPr="008E576F">
        <w:rPr>
          <w:lang w:val="bg-BG"/>
        </w:rPr>
        <w:t xml:space="preserve"> </w:t>
      </w:r>
      <w:r w:rsidRPr="00D7773B">
        <w:t>of</w:t>
      </w:r>
      <w:r w:rsidRPr="008E576F">
        <w:rPr>
          <w:lang w:val="bg-BG"/>
        </w:rPr>
        <w:t xml:space="preserve"> </w:t>
      </w:r>
      <w:r w:rsidRPr="00D7773B">
        <w:t>Ministers</w:t>
      </w:r>
      <w:r w:rsidRPr="008E576F">
        <w:rPr>
          <w:lang w:val="bg-BG"/>
        </w:rPr>
        <w:t xml:space="preserve"> </w:t>
      </w:r>
      <w:r w:rsidRPr="008E576F">
        <w:rPr>
          <w:i/>
          <w:lang w:val="bg-BG"/>
        </w:rPr>
        <w:t>(</w:t>
      </w:r>
      <w:r w:rsidRPr="00D7773B">
        <w:rPr>
          <w:i/>
          <w:lang w:val="bg-BG"/>
        </w:rPr>
        <w:t>Министерски съвет на Република България</w:t>
      </w:r>
      <w:r w:rsidRPr="008E576F">
        <w:rPr>
          <w:i/>
          <w:lang w:val="bg-BG"/>
        </w:rPr>
        <w:t>)</w:t>
      </w:r>
      <w:r w:rsidRPr="00D7773B">
        <w:rPr>
          <w:lang w:val="bg-BG"/>
        </w:rPr>
        <w:t>,</w:t>
      </w:r>
      <w:r w:rsidRPr="008E576F">
        <w:rPr>
          <w:lang w:val="bg-BG"/>
        </w:rPr>
        <w:t xml:space="preserve"> </w:t>
      </w:r>
      <w:r w:rsidRPr="00D7773B">
        <w:t>Action</w:t>
      </w:r>
      <w:r w:rsidRPr="008E576F">
        <w:rPr>
          <w:lang w:val="bg-BG"/>
        </w:rPr>
        <w:t xml:space="preserve"> </w:t>
      </w:r>
      <w:r w:rsidRPr="00D7773B">
        <w:t>plan</w:t>
      </w:r>
      <w:r w:rsidRPr="008E576F">
        <w:rPr>
          <w:lang w:val="bg-BG"/>
        </w:rPr>
        <w:t xml:space="preserve"> </w:t>
      </w:r>
      <w:r w:rsidRPr="00D7773B">
        <w:t>for</w:t>
      </w:r>
      <w:r w:rsidRPr="008E576F">
        <w:rPr>
          <w:lang w:val="bg-BG"/>
        </w:rPr>
        <w:t xml:space="preserve"> 2016-2018 </w:t>
      </w:r>
      <w:r w:rsidRPr="00D7773B">
        <w:t>for</w:t>
      </w:r>
      <w:r w:rsidRPr="008E576F">
        <w:rPr>
          <w:lang w:val="bg-BG"/>
        </w:rPr>
        <w:t xml:space="preserve"> </w:t>
      </w:r>
      <w:r w:rsidRPr="00D7773B">
        <w:t>the</w:t>
      </w:r>
      <w:r w:rsidRPr="008E576F">
        <w:rPr>
          <w:lang w:val="bg-BG"/>
        </w:rPr>
        <w:t xml:space="preserve"> </w:t>
      </w:r>
      <w:r w:rsidRPr="00D7773B">
        <w:t>implementation</w:t>
      </w:r>
      <w:r w:rsidRPr="008E576F">
        <w:rPr>
          <w:lang w:val="bg-BG"/>
        </w:rPr>
        <w:t xml:space="preserve"> </w:t>
      </w:r>
      <w:r w:rsidRPr="00D7773B">
        <w:t>of</w:t>
      </w:r>
      <w:r w:rsidRPr="008E576F">
        <w:rPr>
          <w:lang w:val="bg-BG"/>
        </w:rPr>
        <w:t xml:space="preserve"> </w:t>
      </w:r>
      <w:r w:rsidRPr="00D7773B">
        <w:t>the</w:t>
      </w:r>
      <w:r w:rsidRPr="008E576F">
        <w:rPr>
          <w:lang w:val="bg-BG"/>
        </w:rPr>
        <w:t xml:space="preserve"> </w:t>
      </w:r>
      <w:r w:rsidRPr="00D7773B">
        <w:t>National</w:t>
      </w:r>
      <w:r w:rsidRPr="008E576F">
        <w:rPr>
          <w:lang w:val="bg-BG"/>
        </w:rPr>
        <w:t xml:space="preserve"> </w:t>
      </w:r>
      <w:r w:rsidRPr="00D7773B">
        <w:t>Strategy</w:t>
      </w:r>
      <w:r w:rsidRPr="008E576F">
        <w:rPr>
          <w:lang w:val="bg-BG"/>
        </w:rPr>
        <w:t xml:space="preserve"> </w:t>
      </w:r>
      <w:r w:rsidRPr="00D7773B">
        <w:t>for</w:t>
      </w:r>
      <w:r w:rsidRPr="008E576F">
        <w:rPr>
          <w:lang w:val="bg-BG"/>
        </w:rPr>
        <w:t xml:space="preserve"> </w:t>
      </w:r>
      <w:r w:rsidRPr="00D7773B">
        <w:t>Persons</w:t>
      </w:r>
      <w:r w:rsidRPr="008E576F">
        <w:rPr>
          <w:lang w:val="bg-BG"/>
        </w:rPr>
        <w:t xml:space="preserve"> </w:t>
      </w:r>
      <w:r w:rsidRPr="00D7773B">
        <w:t>with</w:t>
      </w:r>
      <w:r w:rsidRPr="008E576F">
        <w:rPr>
          <w:lang w:val="bg-BG"/>
        </w:rPr>
        <w:t xml:space="preserve"> </w:t>
      </w:r>
      <w:r w:rsidRPr="00D7773B">
        <w:t>Disabilities</w:t>
      </w:r>
      <w:r w:rsidRPr="008E576F">
        <w:rPr>
          <w:lang w:val="bg-BG"/>
        </w:rPr>
        <w:t xml:space="preserve"> 2016-2020 </w:t>
      </w:r>
      <w:r w:rsidRPr="008E576F">
        <w:rPr>
          <w:i/>
          <w:lang w:val="bg-BG"/>
        </w:rPr>
        <w:t>(План за действие за периода 2016-2018 г. за изпълнение на Националната стратегия за хората с увреждания 2016-2020 г.)</w:t>
      </w:r>
      <w:r w:rsidRPr="008E576F">
        <w:rPr>
          <w:lang w:val="bg-BG"/>
        </w:rPr>
        <w:t xml:space="preserve">, </w:t>
      </w:r>
      <w:hyperlink r:id="rId120" w:history="1">
        <w:r w:rsidRPr="00D7773B">
          <w:rPr>
            <w:rStyle w:val="Hyperlink"/>
          </w:rPr>
          <w:t>http</w:t>
        </w:r>
        <w:r w:rsidRPr="008E576F">
          <w:rPr>
            <w:rStyle w:val="Hyperlink"/>
            <w:lang w:val="bg-BG"/>
          </w:rPr>
          <w:t>://</w:t>
        </w:r>
        <w:r w:rsidRPr="00D7773B">
          <w:rPr>
            <w:rStyle w:val="Hyperlink"/>
          </w:rPr>
          <w:t>strategy</w:t>
        </w:r>
        <w:r w:rsidRPr="008E576F">
          <w:rPr>
            <w:rStyle w:val="Hyperlink"/>
            <w:lang w:val="bg-BG"/>
          </w:rPr>
          <w:t>.</w:t>
        </w:r>
        <w:r w:rsidRPr="00D7773B">
          <w:rPr>
            <w:rStyle w:val="Hyperlink"/>
          </w:rPr>
          <w:t>bg</w:t>
        </w:r>
        <w:r w:rsidRPr="008E576F">
          <w:rPr>
            <w:rStyle w:val="Hyperlink"/>
            <w:lang w:val="bg-BG"/>
          </w:rPr>
          <w:t>/</w:t>
        </w:r>
        <w:r w:rsidRPr="00D7773B">
          <w:rPr>
            <w:rStyle w:val="Hyperlink"/>
          </w:rPr>
          <w:t>StrategicDocuments</w:t>
        </w:r>
        <w:r w:rsidRPr="008E576F">
          <w:rPr>
            <w:rStyle w:val="Hyperlink"/>
            <w:lang w:val="bg-BG"/>
          </w:rPr>
          <w:t>/</w:t>
        </w:r>
        <w:r w:rsidRPr="00D7773B">
          <w:rPr>
            <w:rStyle w:val="Hyperlink"/>
          </w:rPr>
          <w:t>View</w:t>
        </w:r>
        <w:r w:rsidRPr="008E576F">
          <w:rPr>
            <w:rStyle w:val="Hyperlink"/>
            <w:lang w:val="bg-BG"/>
          </w:rPr>
          <w:t>.</w:t>
        </w:r>
        <w:r w:rsidRPr="00D7773B">
          <w:rPr>
            <w:rStyle w:val="Hyperlink"/>
          </w:rPr>
          <w:t>aspx</w:t>
        </w:r>
        <w:r w:rsidRPr="008E576F">
          <w:rPr>
            <w:rStyle w:val="Hyperlink"/>
            <w:lang w:val="bg-BG"/>
          </w:rPr>
          <w:t>?</w:t>
        </w:r>
        <w:r w:rsidRPr="00D7773B">
          <w:rPr>
            <w:rStyle w:val="Hyperlink"/>
          </w:rPr>
          <w:t>lang</w:t>
        </w:r>
        <w:r w:rsidRPr="008E576F">
          <w:rPr>
            <w:rStyle w:val="Hyperlink"/>
            <w:lang w:val="bg-BG"/>
          </w:rPr>
          <w:t>=</w:t>
        </w:r>
        <w:r w:rsidRPr="00D7773B">
          <w:rPr>
            <w:rStyle w:val="Hyperlink"/>
          </w:rPr>
          <w:t>bg</w:t>
        </w:r>
        <w:r w:rsidRPr="008E576F">
          <w:rPr>
            <w:rStyle w:val="Hyperlink"/>
            <w:lang w:val="bg-BG"/>
          </w:rPr>
          <w:t>-</w:t>
        </w:r>
        <w:r w:rsidRPr="00D7773B">
          <w:rPr>
            <w:rStyle w:val="Hyperlink"/>
          </w:rPr>
          <w:t>BG</w:t>
        </w:r>
        <w:r w:rsidRPr="008E576F">
          <w:rPr>
            <w:rStyle w:val="Hyperlink"/>
            <w:lang w:val="bg-BG"/>
          </w:rPr>
          <w:t>&amp;</w:t>
        </w:r>
        <w:r w:rsidRPr="00D7773B">
          <w:rPr>
            <w:rStyle w:val="Hyperlink"/>
          </w:rPr>
          <w:t>Id</w:t>
        </w:r>
        <w:r w:rsidRPr="008E576F">
          <w:rPr>
            <w:rStyle w:val="Hyperlink"/>
            <w:lang w:val="bg-BG"/>
          </w:rPr>
          <w:t>=1048</w:t>
        </w:r>
      </w:hyperlink>
    </w:p>
  </w:footnote>
  <w:footnote w:id="125">
    <w:p w14:paraId="2A8AE7D0" w14:textId="1FB82832" w:rsidR="00CD7B2E" w:rsidRPr="008E576F" w:rsidRDefault="00CD7B2E" w:rsidP="0077131A">
      <w:pPr>
        <w:pStyle w:val="FootnoteText"/>
        <w:rPr>
          <w:lang w:val="bg-BG"/>
        </w:rPr>
      </w:pPr>
      <w:r w:rsidRPr="00D7773B">
        <w:rPr>
          <w:rStyle w:val="FootnoteReference"/>
        </w:rPr>
        <w:footnoteRef/>
      </w:r>
      <w:r w:rsidRPr="008E576F">
        <w:rPr>
          <w:lang w:val="bg-BG"/>
        </w:rPr>
        <w:t xml:space="preserve"> </w:t>
      </w:r>
      <w:r w:rsidRPr="00D7773B">
        <w:t>Bulgaria</w:t>
      </w:r>
      <w:r w:rsidRPr="008E576F">
        <w:rPr>
          <w:lang w:val="bg-BG"/>
        </w:rPr>
        <w:t xml:space="preserve">, </w:t>
      </w:r>
      <w:r w:rsidRPr="00D7773B">
        <w:t>Council</w:t>
      </w:r>
      <w:r w:rsidRPr="008E576F">
        <w:rPr>
          <w:lang w:val="bg-BG"/>
        </w:rPr>
        <w:t xml:space="preserve"> </w:t>
      </w:r>
      <w:r w:rsidRPr="00D7773B">
        <w:t>of</w:t>
      </w:r>
      <w:r w:rsidRPr="008E576F">
        <w:rPr>
          <w:lang w:val="bg-BG"/>
        </w:rPr>
        <w:t xml:space="preserve"> </w:t>
      </w:r>
      <w:r w:rsidRPr="00D7773B">
        <w:t>Ministers</w:t>
      </w:r>
      <w:r w:rsidRPr="008E576F">
        <w:rPr>
          <w:lang w:val="bg-BG"/>
        </w:rPr>
        <w:t xml:space="preserve"> </w:t>
      </w:r>
      <w:r w:rsidRPr="008E576F">
        <w:rPr>
          <w:i/>
          <w:lang w:val="bg-BG"/>
        </w:rPr>
        <w:t>(</w:t>
      </w:r>
      <w:r w:rsidRPr="00D7773B">
        <w:rPr>
          <w:i/>
          <w:lang w:val="bg-BG"/>
        </w:rPr>
        <w:t>Министерски съвет на Република България</w:t>
      </w:r>
      <w:r w:rsidRPr="008E576F">
        <w:rPr>
          <w:i/>
          <w:lang w:val="bg-BG"/>
        </w:rPr>
        <w:t>)</w:t>
      </w:r>
      <w:r w:rsidRPr="00D7773B">
        <w:rPr>
          <w:lang w:val="bg-BG"/>
        </w:rPr>
        <w:t xml:space="preserve">, </w:t>
      </w:r>
      <w:r w:rsidRPr="00D7773B">
        <w:t>The</w:t>
      </w:r>
      <w:r w:rsidRPr="008E576F">
        <w:rPr>
          <w:lang w:val="bg-BG"/>
        </w:rPr>
        <w:t xml:space="preserve"> </w:t>
      </w:r>
      <w:r w:rsidRPr="00D7773B">
        <w:t>National</w:t>
      </w:r>
      <w:r w:rsidRPr="008E576F">
        <w:rPr>
          <w:lang w:val="bg-BG"/>
        </w:rPr>
        <w:t xml:space="preserve"> </w:t>
      </w:r>
      <w:r w:rsidRPr="00D7773B">
        <w:t>Health</w:t>
      </w:r>
      <w:r w:rsidRPr="008E576F">
        <w:rPr>
          <w:lang w:val="bg-BG"/>
        </w:rPr>
        <w:t xml:space="preserve"> </w:t>
      </w:r>
      <w:r w:rsidRPr="00D7773B">
        <w:t>Strategy</w:t>
      </w:r>
      <w:r w:rsidRPr="008E576F">
        <w:rPr>
          <w:lang w:val="bg-BG"/>
        </w:rPr>
        <w:t xml:space="preserve"> 2020 </w:t>
      </w:r>
      <w:r w:rsidRPr="008E576F">
        <w:rPr>
          <w:i/>
          <w:lang w:val="bg-BG"/>
        </w:rPr>
        <w:t>(</w:t>
      </w:r>
      <w:r w:rsidRPr="00D7773B">
        <w:rPr>
          <w:i/>
          <w:lang w:val="bg-BG"/>
        </w:rPr>
        <w:t>Национална здравна стратегия</w:t>
      </w:r>
      <w:r w:rsidRPr="008E576F">
        <w:rPr>
          <w:i/>
          <w:lang w:val="bg-BG"/>
        </w:rPr>
        <w:t>)</w:t>
      </w:r>
      <w:r w:rsidRPr="00D7773B">
        <w:rPr>
          <w:lang w:val="bg-BG"/>
        </w:rPr>
        <w:t xml:space="preserve">, </w:t>
      </w:r>
      <w:r w:rsidRPr="00D7773B">
        <w:rPr>
          <w:i/>
          <w:lang w:val="bg-BG"/>
        </w:rPr>
        <w:t xml:space="preserve"> </w:t>
      </w:r>
      <w:r w:rsidRPr="00D7773B">
        <w:rPr>
          <w:lang w:val="bg-BG"/>
        </w:rPr>
        <w:t>1</w:t>
      </w:r>
      <w:r w:rsidRPr="008E576F">
        <w:rPr>
          <w:lang w:val="bg-BG"/>
        </w:rPr>
        <w:t xml:space="preserve">7 </w:t>
      </w:r>
      <w:r w:rsidRPr="00D7773B">
        <w:t>December</w:t>
      </w:r>
      <w:r w:rsidRPr="008E576F">
        <w:rPr>
          <w:lang w:val="bg-BG"/>
        </w:rPr>
        <w:t xml:space="preserve"> 2015, </w:t>
      </w:r>
      <w:hyperlink r:id="rId121" w:history="1">
        <w:r w:rsidRPr="00D7773B">
          <w:rPr>
            <w:rStyle w:val="Hyperlink"/>
          </w:rPr>
          <w:t>http</w:t>
        </w:r>
        <w:r w:rsidRPr="008E576F">
          <w:rPr>
            <w:rStyle w:val="Hyperlink"/>
            <w:lang w:val="bg-BG"/>
          </w:rPr>
          <w:t>://</w:t>
        </w:r>
        <w:r w:rsidRPr="00D7773B">
          <w:rPr>
            <w:rStyle w:val="Hyperlink"/>
          </w:rPr>
          <w:t>strategy</w:t>
        </w:r>
        <w:r w:rsidRPr="008E576F">
          <w:rPr>
            <w:rStyle w:val="Hyperlink"/>
            <w:lang w:val="bg-BG"/>
          </w:rPr>
          <w:t>.</w:t>
        </w:r>
        <w:r w:rsidRPr="00D7773B">
          <w:rPr>
            <w:rStyle w:val="Hyperlink"/>
          </w:rPr>
          <w:t>bg</w:t>
        </w:r>
        <w:r w:rsidRPr="008E576F">
          <w:rPr>
            <w:rStyle w:val="Hyperlink"/>
            <w:lang w:val="bg-BG"/>
          </w:rPr>
          <w:t>/</w:t>
        </w:r>
        <w:r w:rsidRPr="00D7773B">
          <w:rPr>
            <w:rStyle w:val="Hyperlink"/>
          </w:rPr>
          <w:t>StrategicDocuments</w:t>
        </w:r>
        <w:r w:rsidRPr="008E576F">
          <w:rPr>
            <w:rStyle w:val="Hyperlink"/>
            <w:lang w:val="bg-BG"/>
          </w:rPr>
          <w:t>/</w:t>
        </w:r>
        <w:r w:rsidRPr="00D7773B">
          <w:rPr>
            <w:rStyle w:val="Hyperlink"/>
          </w:rPr>
          <w:t>View</w:t>
        </w:r>
        <w:r w:rsidRPr="008E576F">
          <w:rPr>
            <w:rStyle w:val="Hyperlink"/>
            <w:lang w:val="bg-BG"/>
          </w:rPr>
          <w:t>.</w:t>
        </w:r>
        <w:r w:rsidRPr="00D7773B">
          <w:rPr>
            <w:rStyle w:val="Hyperlink"/>
          </w:rPr>
          <w:t>aspx</w:t>
        </w:r>
        <w:r w:rsidRPr="008E576F">
          <w:rPr>
            <w:rStyle w:val="Hyperlink"/>
            <w:lang w:val="bg-BG"/>
          </w:rPr>
          <w:t>?</w:t>
        </w:r>
        <w:r w:rsidRPr="00D7773B">
          <w:rPr>
            <w:rStyle w:val="Hyperlink"/>
          </w:rPr>
          <w:t>lang</w:t>
        </w:r>
        <w:r w:rsidRPr="008E576F">
          <w:rPr>
            <w:rStyle w:val="Hyperlink"/>
            <w:lang w:val="bg-BG"/>
          </w:rPr>
          <w:t>=</w:t>
        </w:r>
        <w:r w:rsidRPr="00D7773B">
          <w:rPr>
            <w:rStyle w:val="Hyperlink"/>
          </w:rPr>
          <w:t>bg</w:t>
        </w:r>
        <w:r w:rsidRPr="008E576F">
          <w:rPr>
            <w:rStyle w:val="Hyperlink"/>
            <w:lang w:val="bg-BG"/>
          </w:rPr>
          <w:t>-</w:t>
        </w:r>
        <w:r w:rsidRPr="00D7773B">
          <w:rPr>
            <w:rStyle w:val="Hyperlink"/>
          </w:rPr>
          <w:t>BG</w:t>
        </w:r>
        <w:r w:rsidRPr="008E576F">
          <w:rPr>
            <w:rStyle w:val="Hyperlink"/>
            <w:lang w:val="bg-BG"/>
          </w:rPr>
          <w:t>&amp;</w:t>
        </w:r>
        <w:r w:rsidRPr="00D7773B">
          <w:rPr>
            <w:rStyle w:val="Hyperlink"/>
          </w:rPr>
          <w:t>Id</w:t>
        </w:r>
        <w:r w:rsidRPr="008E576F">
          <w:rPr>
            <w:rStyle w:val="Hyperlink"/>
            <w:lang w:val="bg-BG"/>
          </w:rPr>
          <w:t>=989</w:t>
        </w:r>
      </w:hyperlink>
    </w:p>
  </w:footnote>
  <w:footnote w:id="126">
    <w:p w14:paraId="43C6B837" w14:textId="3A0F2048" w:rsidR="00CD7B2E" w:rsidRPr="008E576F" w:rsidRDefault="00CD7B2E" w:rsidP="0077131A">
      <w:pPr>
        <w:pStyle w:val="FootnoteText"/>
        <w:rPr>
          <w:lang w:val="bg-BG"/>
        </w:rPr>
      </w:pPr>
      <w:r w:rsidRPr="00D7773B">
        <w:rPr>
          <w:rStyle w:val="FootnoteReference"/>
        </w:rPr>
        <w:footnoteRef/>
      </w:r>
      <w:r w:rsidRPr="008E576F">
        <w:rPr>
          <w:lang w:val="bg-BG"/>
        </w:rPr>
        <w:t xml:space="preserve"> </w:t>
      </w:r>
      <w:r w:rsidRPr="00D7773B">
        <w:t>Bulgaria</w:t>
      </w:r>
      <w:r w:rsidRPr="008E576F">
        <w:rPr>
          <w:lang w:val="bg-BG"/>
        </w:rPr>
        <w:t xml:space="preserve">, </w:t>
      </w:r>
      <w:r w:rsidRPr="00D7773B">
        <w:t>Council</w:t>
      </w:r>
      <w:r w:rsidRPr="008E576F">
        <w:rPr>
          <w:lang w:val="bg-BG"/>
        </w:rPr>
        <w:t xml:space="preserve"> </w:t>
      </w:r>
      <w:r w:rsidRPr="00D7773B">
        <w:t>of</w:t>
      </w:r>
      <w:r w:rsidRPr="008E576F">
        <w:rPr>
          <w:lang w:val="bg-BG"/>
        </w:rPr>
        <w:t xml:space="preserve"> </w:t>
      </w:r>
      <w:r w:rsidRPr="00D7773B">
        <w:t>Ministers</w:t>
      </w:r>
      <w:r w:rsidRPr="008E576F">
        <w:rPr>
          <w:lang w:val="bg-BG"/>
        </w:rPr>
        <w:t xml:space="preserve"> </w:t>
      </w:r>
      <w:r w:rsidRPr="008E576F">
        <w:rPr>
          <w:i/>
          <w:lang w:val="bg-BG"/>
        </w:rPr>
        <w:t>(</w:t>
      </w:r>
      <w:r w:rsidRPr="00D7773B">
        <w:rPr>
          <w:i/>
          <w:lang w:val="bg-BG"/>
        </w:rPr>
        <w:t>Министерски съвет на Република България</w:t>
      </w:r>
      <w:r w:rsidRPr="008E576F">
        <w:rPr>
          <w:i/>
          <w:lang w:val="bg-BG"/>
        </w:rPr>
        <w:t>)</w:t>
      </w:r>
      <w:r w:rsidRPr="00D7773B">
        <w:rPr>
          <w:lang w:val="bg-BG"/>
        </w:rPr>
        <w:t xml:space="preserve">, </w:t>
      </w:r>
      <w:r w:rsidRPr="00D7773B">
        <w:t>Action</w:t>
      </w:r>
      <w:r w:rsidRPr="008E576F">
        <w:rPr>
          <w:lang w:val="bg-BG"/>
        </w:rPr>
        <w:t xml:space="preserve"> </w:t>
      </w:r>
      <w:r w:rsidRPr="00D7773B">
        <w:t>Plan</w:t>
      </w:r>
      <w:r w:rsidRPr="008E576F">
        <w:rPr>
          <w:lang w:val="bg-BG"/>
        </w:rPr>
        <w:t xml:space="preserve"> </w:t>
      </w:r>
      <w:r w:rsidRPr="00D7773B">
        <w:t>for</w:t>
      </w:r>
      <w:r w:rsidRPr="008E576F">
        <w:rPr>
          <w:lang w:val="bg-BG"/>
        </w:rPr>
        <w:t xml:space="preserve"> </w:t>
      </w:r>
      <w:r w:rsidRPr="00D7773B">
        <w:t>the</w:t>
      </w:r>
      <w:r w:rsidRPr="008E576F">
        <w:rPr>
          <w:lang w:val="bg-BG"/>
        </w:rPr>
        <w:t xml:space="preserve"> </w:t>
      </w:r>
      <w:r w:rsidRPr="00D7773B">
        <w:t>Implementation</w:t>
      </w:r>
      <w:r w:rsidRPr="008E576F">
        <w:rPr>
          <w:lang w:val="bg-BG"/>
        </w:rPr>
        <w:t xml:space="preserve"> </w:t>
      </w:r>
      <w:r w:rsidRPr="00D7773B">
        <w:t>of</w:t>
      </w:r>
      <w:r w:rsidRPr="008E576F">
        <w:rPr>
          <w:lang w:val="bg-BG"/>
        </w:rPr>
        <w:t xml:space="preserve"> </w:t>
      </w:r>
      <w:r w:rsidRPr="00D7773B">
        <w:t>the</w:t>
      </w:r>
      <w:r w:rsidRPr="008E576F">
        <w:rPr>
          <w:lang w:val="bg-BG"/>
        </w:rPr>
        <w:t xml:space="preserve"> </w:t>
      </w:r>
      <w:r w:rsidRPr="00D7773B">
        <w:t>National</w:t>
      </w:r>
      <w:r w:rsidRPr="008E576F">
        <w:rPr>
          <w:lang w:val="bg-BG"/>
        </w:rPr>
        <w:t xml:space="preserve"> </w:t>
      </w:r>
      <w:r w:rsidRPr="00D7773B">
        <w:t>Health</w:t>
      </w:r>
      <w:r w:rsidRPr="008E576F">
        <w:rPr>
          <w:lang w:val="bg-BG"/>
        </w:rPr>
        <w:t xml:space="preserve"> </w:t>
      </w:r>
      <w:r w:rsidRPr="00D7773B">
        <w:t>Strategy</w:t>
      </w:r>
      <w:r w:rsidRPr="008E576F">
        <w:rPr>
          <w:lang w:val="bg-BG"/>
        </w:rPr>
        <w:t xml:space="preserve"> 2020 </w:t>
      </w:r>
      <w:r w:rsidRPr="008E576F">
        <w:rPr>
          <w:i/>
          <w:lang w:val="bg-BG"/>
        </w:rPr>
        <w:t>(</w:t>
      </w:r>
      <w:r w:rsidRPr="00D7773B">
        <w:rPr>
          <w:i/>
          <w:lang w:val="bg-BG"/>
        </w:rPr>
        <w:t>План за действие за изпълнение на Националната здравна стратегия</w:t>
      </w:r>
      <w:r w:rsidRPr="008E576F">
        <w:rPr>
          <w:i/>
          <w:lang w:val="bg-BG"/>
        </w:rPr>
        <w:t xml:space="preserve"> 2020)</w:t>
      </w:r>
      <w:r w:rsidRPr="00D7773B">
        <w:rPr>
          <w:lang w:val="bg-BG"/>
        </w:rPr>
        <w:t xml:space="preserve">, </w:t>
      </w:r>
      <w:r w:rsidRPr="00D7773B">
        <w:rPr>
          <w:i/>
          <w:lang w:val="bg-BG"/>
        </w:rPr>
        <w:t xml:space="preserve"> </w:t>
      </w:r>
      <w:r w:rsidRPr="00D7773B">
        <w:rPr>
          <w:lang w:val="bg-BG"/>
        </w:rPr>
        <w:t>1</w:t>
      </w:r>
      <w:r w:rsidRPr="008E576F">
        <w:rPr>
          <w:lang w:val="bg-BG"/>
        </w:rPr>
        <w:t xml:space="preserve">7 </w:t>
      </w:r>
      <w:r w:rsidRPr="00D7773B">
        <w:t>December</w:t>
      </w:r>
      <w:r w:rsidRPr="008E576F">
        <w:rPr>
          <w:lang w:val="bg-BG"/>
        </w:rPr>
        <w:t xml:space="preserve"> 2015, </w:t>
      </w:r>
      <w:hyperlink r:id="rId122" w:history="1">
        <w:r w:rsidRPr="00D7773B">
          <w:rPr>
            <w:rStyle w:val="Hyperlink"/>
          </w:rPr>
          <w:t>http</w:t>
        </w:r>
        <w:r w:rsidRPr="008E576F">
          <w:rPr>
            <w:rStyle w:val="Hyperlink"/>
            <w:lang w:val="bg-BG"/>
          </w:rPr>
          <w:t>://</w:t>
        </w:r>
        <w:r w:rsidRPr="00D7773B">
          <w:rPr>
            <w:rStyle w:val="Hyperlink"/>
          </w:rPr>
          <w:t>strategy</w:t>
        </w:r>
        <w:r w:rsidRPr="008E576F">
          <w:rPr>
            <w:rStyle w:val="Hyperlink"/>
            <w:lang w:val="bg-BG"/>
          </w:rPr>
          <w:t>.</w:t>
        </w:r>
        <w:r w:rsidRPr="00D7773B">
          <w:rPr>
            <w:rStyle w:val="Hyperlink"/>
          </w:rPr>
          <w:t>bg</w:t>
        </w:r>
        <w:r w:rsidRPr="008E576F">
          <w:rPr>
            <w:rStyle w:val="Hyperlink"/>
            <w:lang w:val="bg-BG"/>
          </w:rPr>
          <w:t>/</w:t>
        </w:r>
        <w:r w:rsidRPr="00D7773B">
          <w:rPr>
            <w:rStyle w:val="Hyperlink"/>
          </w:rPr>
          <w:t>StrategicDocuments</w:t>
        </w:r>
        <w:r w:rsidRPr="008E576F">
          <w:rPr>
            <w:rStyle w:val="Hyperlink"/>
            <w:lang w:val="bg-BG"/>
          </w:rPr>
          <w:t>/</w:t>
        </w:r>
        <w:r w:rsidRPr="00D7773B">
          <w:rPr>
            <w:rStyle w:val="Hyperlink"/>
          </w:rPr>
          <w:t>View</w:t>
        </w:r>
        <w:r w:rsidRPr="008E576F">
          <w:rPr>
            <w:rStyle w:val="Hyperlink"/>
            <w:lang w:val="bg-BG"/>
          </w:rPr>
          <w:t>.</w:t>
        </w:r>
        <w:r w:rsidRPr="00D7773B">
          <w:rPr>
            <w:rStyle w:val="Hyperlink"/>
          </w:rPr>
          <w:t>aspx</w:t>
        </w:r>
        <w:r w:rsidRPr="008E576F">
          <w:rPr>
            <w:rStyle w:val="Hyperlink"/>
            <w:lang w:val="bg-BG"/>
          </w:rPr>
          <w:t>?</w:t>
        </w:r>
        <w:r w:rsidRPr="00D7773B">
          <w:rPr>
            <w:rStyle w:val="Hyperlink"/>
          </w:rPr>
          <w:t>lang</w:t>
        </w:r>
        <w:r w:rsidRPr="008E576F">
          <w:rPr>
            <w:rStyle w:val="Hyperlink"/>
            <w:lang w:val="bg-BG"/>
          </w:rPr>
          <w:t>=</w:t>
        </w:r>
        <w:r w:rsidRPr="00D7773B">
          <w:rPr>
            <w:rStyle w:val="Hyperlink"/>
          </w:rPr>
          <w:t>bg</w:t>
        </w:r>
        <w:r w:rsidRPr="008E576F">
          <w:rPr>
            <w:rStyle w:val="Hyperlink"/>
            <w:lang w:val="bg-BG"/>
          </w:rPr>
          <w:t>-</w:t>
        </w:r>
        <w:r w:rsidRPr="00D7773B">
          <w:rPr>
            <w:rStyle w:val="Hyperlink"/>
          </w:rPr>
          <w:t>BG</w:t>
        </w:r>
        <w:r w:rsidRPr="008E576F">
          <w:rPr>
            <w:rStyle w:val="Hyperlink"/>
            <w:lang w:val="bg-BG"/>
          </w:rPr>
          <w:t>&amp;</w:t>
        </w:r>
        <w:r w:rsidRPr="00D7773B">
          <w:rPr>
            <w:rStyle w:val="Hyperlink"/>
          </w:rPr>
          <w:t>Id</w:t>
        </w:r>
        <w:r w:rsidRPr="008E576F">
          <w:rPr>
            <w:rStyle w:val="Hyperlink"/>
            <w:lang w:val="bg-BG"/>
          </w:rPr>
          <w:t>=989</w:t>
        </w:r>
      </w:hyperlink>
    </w:p>
  </w:footnote>
  <w:footnote w:id="127">
    <w:p w14:paraId="15F9F50D" w14:textId="6DC981B2" w:rsidR="00CD7B2E" w:rsidRPr="00D7773B" w:rsidRDefault="00CD7B2E" w:rsidP="0077131A">
      <w:pPr>
        <w:pStyle w:val="FootnoteText"/>
        <w:rPr>
          <w:color w:val="000000" w:themeColor="text1"/>
        </w:rPr>
      </w:pPr>
      <w:r w:rsidRPr="00D7773B">
        <w:rPr>
          <w:rStyle w:val="FootnoteReference"/>
        </w:rPr>
        <w:footnoteRef/>
      </w:r>
      <w:r w:rsidRPr="00D7773B">
        <w:t xml:space="preserve"> Bulgaria, Council of Ministers of the Republic of Bulgaria </w:t>
      </w:r>
      <w:r w:rsidRPr="00D7773B">
        <w:rPr>
          <w:i/>
          <w:iCs/>
        </w:rPr>
        <w:t>(</w:t>
      </w:r>
      <w:r w:rsidRPr="00D7773B">
        <w:rPr>
          <w:i/>
          <w:iCs/>
          <w:lang w:val="bg-BG"/>
        </w:rPr>
        <w:t>Министерски съвет на Република България</w:t>
      </w:r>
      <w:r w:rsidRPr="00D7773B">
        <w:rPr>
          <w:i/>
          <w:iCs/>
        </w:rPr>
        <w:t>)</w:t>
      </w:r>
      <w:r w:rsidRPr="00D7773B">
        <w:rPr>
          <w:lang w:val="bg-BG"/>
        </w:rPr>
        <w:t xml:space="preserve"> </w:t>
      </w:r>
      <w:r w:rsidRPr="00D7773B">
        <w:rPr>
          <w:bCs/>
        </w:rPr>
        <w:t xml:space="preserve">(2013), </w:t>
      </w:r>
      <w:r w:rsidRPr="00D7773B">
        <w:t xml:space="preserve">National strategy for reducing poverty and promoting social inclusion 2020, 6 February 2013, </w:t>
      </w:r>
      <w:hyperlink r:id="rId123" w:history="1">
        <w:r w:rsidRPr="00D7773B">
          <w:rPr>
            <w:rStyle w:val="Hyperlink"/>
          </w:rPr>
          <w:t>https://www.strategy.bg/StrategicDocuments/View.aspx?lang=bg-BG&amp;Id=790</w:t>
        </w:r>
      </w:hyperlink>
      <w:r w:rsidRPr="00D7773B">
        <w:rPr>
          <w:rStyle w:val="Hyperlink"/>
          <w:color w:val="000000" w:themeColor="text1"/>
          <w:u w:val="none"/>
        </w:rPr>
        <w:t xml:space="preserve">. </w:t>
      </w:r>
    </w:p>
  </w:footnote>
  <w:footnote w:id="128">
    <w:p w14:paraId="5D3ED40F" w14:textId="77777777" w:rsidR="00CD7B2E" w:rsidRPr="00D7773B" w:rsidRDefault="00CD7B2E" w:rsidP="0077131A">
      <w:pPr>
        <w:pStyle w:val="FootnoteText"/>
        <w:rPr>
          <w:lang w:val="bg-BG"/>
        </w:rPr>
      </w:pPr>
      <w:r w:rsidRPr="00D7773B">
        <w:rPr>
          <w:rStyle w:val="FootnoteReference"/>
        </w:rPr>
        <w:footnoteRef/>
      </w:r>
      <w:r w:rsidRPr="00D7773B">
        <w:t xml:space="preserve"> Bulgaria, Ministry of Labour and Social Policy </w:t>
      </w:r>
      <w:r w:rsidRPr="00D7773B">
        <w:rPr>
          <w:i/>
        </w:rPr>
        <w:t>(</w:t>
      </w:r>
      <w:r w:rsidRPr="00D7773B">
        <w:rPr>
          <w:i/>
          <w:lang w:val="bg-BG"/>
        </w:rPr>
        <w:t>Министерство на труда и социалната политика</w:t>
      </w:r>
      <w:r w:rsidRPr="00D7773B">
        <w:rPr>
          <w:i/>
        </w:rPr>
        <w:t>)</w:t>
      </w:r>
      <w:r w:rsidRPr="00D7773B">
        <w:rPr>
          <w:i/>
          <w:lang w:val="bg-BG"/>
        </w:rPr>
        <w:t xml:space="preserve"> </w:t>
      </w:r>
      <w:r w:rsidRPr="00D7773B">
        <w:t xml:space="preserve">(2019) National Employment Action Plan 2019 </w:t>
      </w:r>
      <w:r w:rsidRPr="00D7773B">
        <w:rPr>
          <w:i/>
        </w:rPr>
        <w:t>(</w:t>
      </w:r>
      <w:r w:rsidRPr="00D7773B">
        <w:rPr>
          <w:i/>
          <w:lang w:val="bg-BG"/>
        </w:rPr>
        <w:t>Национален план за действие по заетостта през 2019 г.</w:t>
      </w:r>
      <w:r w:rsidRPr="00D7773B">
        <w:rPr>
          <w:i/>
        </w:rPr>
        <w:t>)</w:t>
      </w:r>
      <w:r w:rsidRPr="00D7773B">
        <w:rPr>
          <w:lang w:val="bg-BG"/>
        </w:rPr>
        <w:t xml:space="preserve">, 18 </w:t>
      </w:r>
      <w:r w:rsidRPr="00D7773B">
        <w:t xml:space="preserve">January 2019, </w:t>
      </w:r>
      <w:hyperlink r:id="rId124" w:history="1">
        <w:r w:rsidRPr="00D7773B">
          <w:rPr>
            <w:rStyle w:val="Hyperlink"/>
          </w:rPr>
          <w:t>https://www.mlsp.government.bg/index.php?section=POLICIESI&amp;I=249</w:t>
        </w:r>
      </w:hyperlink>
      <w:r w:rsidRPr="00D7773B">
        <w:rPr>
          <w:lang w:val="bg-BG"/>
        </w:rPr>
        <w:t xml:space="preserve"> </w:t>
      </w:r>
    </w:p>
  </w:footnote>
  <w:footnote w:id="129">
    <w:p w14:paraId="0AD4F6C5" w14:textId="7A0FE87F" w:rsidR="00CD7B2E" w:rsidRPr="00D7773B" w:rsidRDefault="00CD7B2E" w:rsidP="0077131A">
      <w:pPr>
        <w:pStyle w:val="FootnoteText"/>
      </w:pPr>
      <w:r w:rsidRPr="00D7773B">
        <w:rPr>
          <w:rStyle w:val="FootnoteReference"/>
        </w:rPr>
        <w:footnoteRef/>
      </w:r>
      <w:r w:rsidRPr="00D7773B">
        <w:t xml:space="preserve"> Bulgaria, Bulgarian Helsinki Committee (2017), Alternative Report about the Rights of Persons with Disabilities in Bulgaria under the UN Convention on the Rights of Persons with Disabilities, May 2017, </w:t>
      </w:r>
      <w:hyperlink r:id="rId125" w:history="1">
        <w:r w:rsidRPr="00D7773B">
          <w:rPr>
            <w:rStyle w:val="Hyperlink"/>
          </w:rPr>
          <w:t>https://www.bghelsinki.org/en/news/press/single/delayed-reform-and-implementation-rights-persons-disabilities-bulgaria/</w:t>
        </w:r>
      </w:hyperlink>
      <w:r w:rsidRPr="00D7773B">
        <w:t xml:space="preserve"> </w:t>
      </w:r>
    </w:p>
  </w:footnote>
  <w:footnote w:id="130">
    <w:p w14:paraId="02635601" w14:textId="0E606DFF" w:rsidR="00CD7B2E" w:rsidRPr="00D7773B" w:rsidRDefault="00CD7B2E" w:rsidP="0077131A">
      <w:pPr>
        <w:pStyle w:val="FootnoteText"/>
      </w:pPr>
      <w:r w:rsidRPr="00D7773B">
        <w:rPr>
          <w:rStyle w:val="FootnoteReference"/>
        </w:rPr>
        <w:footnoteRef/>
      </w:r>
      <w:r w:rsidRPr="00D7773B">
        <w:t xml:space="preserve"> Bulgaria, Ministry of Labour and Social Policy </w:t>
      </w:r>
      <w:r w:rsidRPr="00D7773B">
        <w:rPr>
          <w:i/>
        </w:rPr>
        <w:t>(</w:t>
      </w:r>
      <w:r w:rsidRPr="00D7773B">
        <w:rPr>
          <w:i/>
          <w:lang w:val="bg-BG"/>
        </w:rPr>
        <w:t>Министерство на труда и социалната политика</w:t>
      </w:r>
      <w:r w:rsidRPr="00D7773B">
        <w:rPr>
          <w:i/>
        </w:rPr>
        <w:t>)</w:t>
      </w:r>
      <w:r w:rsidRPr="00D7773B">
        <w:rPr>
          <w:lang w:val="bg-BG"/>
        </w:rPr>
        <w:t xml:space="preserve">, </w:t>
      </w:r>
      <w:r w:rsidRPr="005B4500">
        <w:t>Action Plan of the Agency for Persons with Disabilities for 2019</w:t>
      </w:r>
      <w:r w:rsidRPr="00D7773B">
        <w:rPr>
          <w:lang w:val="bg-BG"/>
        </w:rPr>
        <w:t xml:space="preserve"> </w:t>
      </w:r>
      <w:r w:rsidRPr="00D7773B">
        <w:rPr>
          <w:i/>
        </w:rPr>
        <w:t>(</w:t>
      </w:r>
      <w:r w:rsidRPr="005B4500">
        <w:rPr>
          <w:i/>
          <w:lang w:val="bg-BG"/>
        </w:rPr>
        <w:t>План за действие на Агенция за хората с увреждания за 2019 г.</w:t>
      </w:r>
      <w:r w:rsidRPr="00D7773B">
        <w:rPr>
          <w:i/>
        </w:rPr>
        <w:t>)</w:t>
      </w:r>
      <w:r w:rsidRPr="00D7773B">
        <w:t xml:space="preserve">, </w:t>
      </w:r>
      <w:hyperlink r:id="rId126" w:history="1">
        <w:r w:rsidRPr="00D7773B">
          <w:rPr>
            <w:rStyle w:val="Hyperlink"/>
          </w:rPr>
          <w:t>https://ahu.mlsp.government.bg/portal/document/68173</w:t>
        </w:r>
      </w:hyperlink>
      <w:r w:rsidRPr="00D7773B">
        <w:t xml:space="preserve"> </w:t>
      </w:r>
    </w:p>
  </w:footnote>
  <w:footnote w:id="131">
    <w:p w14:paraId="3C8DC365" w14:textId="4BA0560D" w:rsidR="00CD7B2E" w:rsidRPr="00D7773B" w:rsidRDefault="00CD7B2E" w:rsidP="0077131A">
      <w:pPr>
        <w:pStyle w:val="FootnoteText"/>
      </w:pPr>
      <w:r w:rsidRPr="00D7773B">
        <w:rPr>
          <w:rStyle w:val="FootnoteReference"/>
        </w:rPr>
        <w:footnoteRef/>
      </w:r>
      <w:r w:rsidRPr="00D7773B">
        <w:t xml:space="preserve"> Bulgaria, National Strategy for Persons with Disabilities, 7 July 2016, </w:t>
      </w:r>
      <w:hyperlink r:id="rId127" w:history="1">
        <w:r w:rsidRPr="00D7773B">
          <w:rPr>
            <w:rStyle w:val="Hyperlink"/>
          </w:rPr>
          <w:t>http://strategy.bg/StrategicDocuments/View.aspx?lang=bg-BG&amp;Id=1048</w:t>
        </w:r>
      </w:hyperlink>
      <w:r w:rsidRPr="00D7773B">
        <w:t>, p. 30.</w:t>
      </w:r>
    </w:p>
  </w:footnote>
  <w:footnote w:id="132">
    <w:p w14:paraId="1B86DF5C" w14:textId="1B89EEDB" w:rsidR="00CD7B2E" w:rsidRPr="00D7773B" w:rsidRDefault="00CD7B2E" w:rsidP="0077131A">
      <w:pPr>
        <w:pStyle w:val="FootnoteText"/>
      </w:pPr>
      <w:r w:rsidRPr="00D7773B">
        <w:rPr>
          <w:rStyle w:val="FootnoteReference"/>
        </w:rPr>
        <w:footnoteRef/>
      </w:r>
      <w:r w:rsidRPr="00D7773B">
        <w:t xml:space="preserve"> Bulgaria, National Youth Strategy (2012-2020)  </w:t>
      </w:r>
      <w:r w:rsidRPr="00D7773B">
        <w:rPr>
          <w:i/>
        </w:rPr>
        <w:t>(</w:t>
      </w:r>
      <w:r w:rsidRPr="00D7773B">
        <w:rPr>
          <w:i/>
          <w:lang w:val="bg-BG"/>
        </w:rPr>
        <w:t>Национална стратегия за младежта (2012-2020)</w:t>
      </w:r>
      <w:r w:rsidRPr="00D7773B">
        <w:rPr>
          <w:i/>
        </w:rPr>
        <w:t>)</w:t>
      </w:r>
      <w:r w:rsidRPr="00D7773B">
        <w:rPr>
          <w:lang w:val="bg-BG"/>
        </w:rPr>
        <w:t xml:space="preserve">, </w:t>
      </w:r>
      <w:hyperlink r:id="rId128" w:history="1">
        <w:r w:rsidRPr="00D7773B">
          <w:rPr>
            <w:rStyle w:val="Hyperlink"/>
            <w:lang w:val="bg-BG"/>
          </w:rPr>
          <w:t>https://www.google.com/url?sa=t&amp;rct=j&amp;q=&amp;esrc=s&amp;source=web&amp;cd=1&amp;cad=rja&amp;uact=8&amp;ved=2ahUKEwjY3pvV26DkAhWo_CoKHckJCX0QFjAAegQIARAC&amp;url=http%3A%2F%2Fmpes.government.bg%2FDocuments%2FDocuments%2FStrategii%2Fstrategy_youth_2012-2020.pdf&amp;usg=AOvVaw1WVX8xsHVDOAFtE1wIEseR</w:t>
        </w:r>
      </w:hyperlink>
      <w:r>
        <w:rPr>
          <w:rStyle w:val="Hyperlink"/>
        </w:rPr>
        <w:t>.</w:t>
      </w:r>
      <w:r w:rsidRPr="00595BA4">
        <w:rPr>
          <w:rStyle w:val="Hyperlink"/>
          <w:color w:val="000000" w:themeColor="text1"/>
          <w:u w:val="none"/>
        </w:rPr>
        <w:t xml:space="preserve"> The Strategy refers to</w:t>
      </w:r>
      <w:r w:rsidRPr="00D7773B">
        <w:t xml:space="preserve"> Art. 136 and 137 of the Treaty of Amsterdam, Lisbon Strategy, Resolution of the Council and of the representatives of the governments of the Member States, meeting within the Council, of 14 December 2000 on the social inclusion of young people, the 2001 White Paper A New Impetus for European Youth, European Pact for Youth, the Framework Programme for Innovation and Competitiveness, the European Framework for Key Competencies, the White Paper Together for Health – A Strategic Approach for the EU, 2008-2013 and a number of recommendations and resolutions of the Council of Europe, etc.</w:t>
      </w:r>
    </w:p>
  </w:footnote>
  <w:footnote w:id="133">
    <w:p w14:paraId="01342051" w14:textId="6970924F" w:rsidR="00CD7B2E" w:rsidRPr="00D7773B" w:rsidRDefault="00CD7B2E" w:rsidP="0077131A">
      <w:pPr>
        <w:pStyle w:val="FootnoteText"/>
        <w:rPr>
          <w:lang w:val="bg-BG"/>
        </w:rPr>
      </w:pPr>
      <w:r w:rsidRPr="00D7773B">
        <w:rPr>
          <w:rStyle w:val="FootnoteReference"/>
        </w:rPr>
        <w:footnoteRef/>
      </w:r>
      <w:r w:rsidRPr="00D7773B">
        <w:t xml:space="preserve"> Bulgaria, Council of Ministers </w:t>
      </w:r>
      <w:r w:rsidRPr="00D7773B">
        <w:rPr>
          <w:i/>
        </w:rPr>
        <w:t>(</w:t>
      </w:r>
      <w:r w:rsidRPr="00D7773B">
        <w:rPr>
          <w:i/>
          <w:lang w:val="bg-BG"/>
        </w:rPr>
        <w:t>Министерски съвет на Република България</w:t>
      </w:r>
      <w:r w:rsidRPr="00D7773B">
        <w:rPr>
          <w:i/>
        </w:rPr>
        <w:t>)</w:t>
      </w:r>
      <w:r w:rsidRPr="00D7773B">
        <w:rPr>
          <w:lang w:val="bg-BG"/>
        </w:rPr>
        <w:t>,</w:t>
      </w:r>
      <w:r w:rsidRPr="00D7773B">
        <w:t xml:space="preserve"> National Youth Programme 2016-2020 </w:t>
      </w:r>
      <w:r w:rsidRPr="00D7773B">
        <w:rPr>
          <w:i/>
        </w:rPr>
        <w:t>(Национална програма за младежта 2016-2020)</w:t>
      </w:r>
      <w:r w:rsidRPr="00D7773B">
        <w:rPr>
          <w:lang w:val="bg-BG"/>
        </w:rPr>
        <w:t xml:space="preserve">, 11 </w:t>
      </w:r>
      <w:r w:rsidRPr="00D7773B">
        <w:t>February 2016,</w:t>
      </w:r>
      <w:r w:rsidRPr="00D7773B">
        <w:rPr>
          <w:lang w:val="bg-BG"/>
        </w:rPr>
        <w:t xml:space="preserve">  </w:t>
      </w:r>
      <w:hyperlink r:id="rId129" w:history="1">
        <w:r w:rsidRPr="00D7773B">
          <w:rPr>
            <w:rStyle w:val="Hyperlink"/>
          </w:rPr>
          <w:t>http://www.strategy.bg/StrategicDocuments/View.aspx?lang=bg-BG&amp;Id=986</w:t>
        </w:r>
      </w:hyperlink>
      <w:r w:rsidRPr="00D7773B">
        <w:rPr>
          <w:lang w:val="bg-BG"/>
        </w:rPr>
        <w:t xml:space="preserve"> </w:t>
      </w:r>
    </w:p>
  </w:footnote>
  <w:footnote w:id="134">
    <w:p w14:paraId="19F94D5E" w14:textId="7630BF99" w:rsidR="00CD7B2E" w:rsidRPr="00D7773B" w:rsidRDefault="00CD7B2E" w:rsidP="0077131A">
      <w:pPr>
        <w:pStyle w:val="FootnoteText"/>
        <w:rPr>
          <w:lang w:val="bg-BG"/>
        </w:rPr>
      </w:pPr>
      <w:r w:rsidRPr="00D7773B">
        <w:rPr>
          <w:rStyle w:val="FootnoteReference"/>
        </w:rPr>
        <w:footnoteRef/>
      </w:r>
      <w:r w:rsidRPr="00D7773B">
        <w:t xml:space="preserve"> The latest report is Bulgaria, Council of Ministers </w:t>
      </w:r>
      <w:r w:rsidRPr="00D7773B">
        <w:rPr>
          <w:i/>
        </w:rPr>
        <w:t>(</w:t>
      </w:r>
      <w:r w:rsidRPr="00D7773B">
        <w:rPr>
          <w:i/>
          <w:lang w:val="bg-BG"/>
        </w:rPr>
        <w:t>Министерски съвет на Република България</w:t>
      </w:r>
      <w:r w:rsidRPr="00D7773B">
        <w:rPr>
          <w:i/>
        </w:rPr>
        <w:t>)</w:t>
      </w:r>
      <w:r w:rsidRPr="00D7773B">
        <w:rPr>
          <w:lang w:val="bg-BG"/>
        </w:rPr>
        <w:t>,</w:t>
      </w:r>
      <w:r w:rsidRPr="00D7773B">
        <w:t xml:space="preserve"> National Youth Report 2017 </w:t>
      </w:r>
      <w:r w:rsidRPr="00D7773B">
        <w:rPr>
          <w:i/>
        </w:rPr>
        <w:t>(</w:t>
      </w:r>
      <w:r w:rsidRPr="00D7773B">
        <w:rPr>
          <w:i/>
          <w:lang w:val="bg-BG"/>
        </w:rPr>
        <w:t>Доклад за младежта за 2017 г.</w:t>
      </w:r>
      <w:r w:rsidRPr="00D7773B">
        <w:rPr>
          <w:i/>
        </w:rPr>
        <w:t>)</w:t>
      </w:r>
      <w:r w:rsidRPr="00D7773B">
        <w:rPr>
          <w:lang w:val="bg-BG"/>
        </w:rPr>
        <w:t xml:space="preserve">, 14 </w:t>
      </w:r>
      <w:r w:rsidRPr="00D7773B">
        <w:t>December 2018,</w:t>
      </w:r>
      <w:r w:rsidRPr="00D7773B">
        <w:rPr>
          <w:i/>
          <w:lang w:val="bg-BG"/>
        </w:rPr>
        <w:t xml:space="preserve"> </w:t>
      </w:r>
      <w:hyperlink r:id="rId130" w:history="1">
        <w:r w:rsidRPr="00D7773B">
          <w:rPr>
            <w:rStyle w:val="Hyperlink"/>
          </w:rPr>
          <w:t>http://strategy.bg/Publications/View.aspx?lang=bg-BG&amp;Id=151</w:t>
        </w:r>
      </w:hyperlink>
      <w:r w:rsidRPr="00D7773B">
        <w:rPr>
          <w:lang w:val="bg-BG"/>
        </w:rPr>
        <w:t xml:space="preserve"> </w:t>
      </w:r>
    </w:p>
  </w:footnote>
  <w:footnote w:id="135">
    <w:p w14:paraId="6CA30B4B" w14:textId="59ECD046" w:rsidR="00CD7B2E" w:rsidRPr="00ED40C4" w:rsidRDefault="00CD7B2E" w:rsidP="0077131A">
      <w:pPr>
        <w:pStyle w:val="FootnoteText"/>
      </w:pPr>
      <w:r>
        <w:rPr>
          <w:rStyle w:val="FootnoteReference"/>
        </w:rPr>
        <w:footnoteRef/>
      </w:r>
      <w:r>
        <w:t xml:space="preserve"> See, for example, the plans of the Burgas region </w:t>
      </w:r>
      <w:hyperlink r:id="rId131" w:history="1">
        <w:r w:rsidRPr="00BD71DF">
          <w:rPr>
            <w:rStyle w:val="Hyperlink"/>
          </w:rPr>
          <w:t>https://www.bs.government.bg/uploads/files/oblasten_plan_za_mladejta_2017.pdf</w:t>
        </w:r>
      </w:hyperlink>
      <w:r>
        <w:t xml:space="preserve"> or the municipality of Haskovo - </w:t>
      </w:r>
      <w:hyperlink r:id="rId132" w:history="1">
        <w:r>
          <w:rPr>
            <w:rStyle w:val="Hyperlink"/>
          </w:rPr>
          <w:t>https://www.haskovo.bg/article/7460/obshtinski-plan-za-mladezhta-2019-g</w:t>
        </w:r>
      </w:hyperlink>
      <w:r>
        <w:t xml:space="preserve">. </w:t>
      </w:r>
    </w:p>
  </w:footnote>
  <w:footnote w:id="136">
    <w:p w14:paraId="2FD0A8A4" w14:textId="49F80CB3" w:rsidR="00CD7B2E" w:rsidRPr="00D7773B" w:rsidRDefault="00CD7B2E" w:rsidP="0077131A">
      <w:pPr>
        <w:pStyle w:val="FootnoteText"/>
      </w:pPr>
      <w:r w:rsidRPr="00D7773B">
        <w:rPr>
          <w:rStyle w:val="FootnoteReference"/>
        </w:rPr>
        <w:footnoteRef/>
      </w:r>
      <w:r w:rsidRPr="00D7773B">
        <w:t xml:space="preserve"> Bulgaria, Council of Ministers </w:t>
      </w:r>
      <w:r w:rsidRPr="00D7773B">
        <w:rPr>
          <w:i/>
        </w:rPr>
        <w:t>(</w:t>
      </w:r>
      <w:r w:rsidRPr="00D7773B">
        <w:rPr>
          <w:i/>
          <w:lang w:val="bg-BG"/>
        </w:rPr>
        <w:t>Министерски съвет на Република България</w:t>
      </w:r>
      <w:r w:rsidRPr="00D7773B">
        <w:rPr>
          <w:i/>
        </w:rPr>
        <w:t>)</w:t>
      </w:r>
      <w:r w:rsidRPr="00D7773B">
        <w:rPr>
          <w:lang w:val="bg-BG"/>
        </w:rPr>
        <w:t>,</w:t>
      </w:r>
      <w:r w:rsidRPr="00D7773B">
        <w:t xml:space="preserve"> National Implementation Plan for European Youth Guarantee (NIPEYG) 2014 – 2020, 18 December 2013, </w:t>
      </w:r>
      <w:hyperlink r:id="rId133" w:history="1">
        <w:r w:rsidRPr="00D7773B">
          <w:rPr>
            <w:rStyle w:val="Hyperlink"/>
          </w:rPr>
          <w:t>https://www.strategy.bg/StrategicDocuments/View.aspx?lang=bg-BG&amp;Id=883</w:t>
        </w:r>
      </w:hyperlink>
      <w:r w:rsidRPr="00D7773B">
        <w:t xml:space="preserve"> </w:t>
      </w:r>
    </w:p>
  </w:footnote>
  <w:footnote w:id="137">
    <w:p w14:paraId="71D4F03E" w14:textId="56E1FD2B" w:rsidR="00CD7B2E" w:rsidRPr="00D7773B" w:rsidRDefault="00CD7B2E" w:rsidP="0077131A">
      <w:pPr>
        <w:pStyle w:val="FootnoteText"/>
        <w:rPr>
          <w:color w:val="000000" w:themeColor="text1"/>
        </w:rPr>
      </w:pPr>
      <w:r w:rsidRPr="00D7773B">
        <w:rPr>
          <w:rStyle w:val="FootnoteReference"/>
        </w:rPr>
        <w:footnoteRef/>
      </w:r>
      <w:r w:rsidRPr="00D7773B">
        <w:t xml:space="preserve"> Bulgaria, Council of Ministers of the Republic of Bulgaria </w:t>
      </w:r>
      <w:r w:rsidRPr="00D7773B">
        <w:rPr>
          <w:i/>
          <w:iCs/>
        </w:rPr>
        <w:t>(</w:t>
      </w:r>
      <w:r w:rsidRPr="00D7773B">
        <w:rPr>
          <w:i/>
          <w:iCs/>
          <w:lang w:val="bg-BG"/>
        </w:rPr>
        <w:t>Министерски съвет на Република България</w:t>
      </w:r>
      <w:r w:rsidRPr="00D7773B">
        <w:rPr>
          <w:i/>
          <w:iCs/>
        </w:rPr>
        <w:t>)</w:t>
      </w:r>
      <w:r w:rsidRPr="00D7773B">
        <w:rPr>
          <w:lang w:val="bg-BG"/>
        </w:rPr>
        <w:t xml:space="preserve"> </w:t>
      </w:r>
      <w:r w:rsidRPr="00D7773B">
        <w:rPr>
          <w:bCs/>
        </w:rPr>
        <w:t xml:space="preserve">(2013), </w:t>
      </w:r>
      <w:r w:rsidRPr="00D7773B">
        <w:t xml:space="preserve">National strategy for reducing poverty and promoting social inclusion 2020, 6 February 2013, </w:t>
      </w:r>
      <w:hyperlink r:id="rId134" w:history="1">
        <w:r w:rsidRPr="00D7773B">
          <w:rPr>
            <w:rStyle w:val="Hyperlink"/>
          </w:rPr>
          <w:t>https://www.strategy.bg/StrategicDocuments/View.aspx?lang=bg-BG&amp;Id=790</w:t>
        </w:r>
      </w:hyperlink>
      <w:r w:rsidRPr="00D7773B">
        <w:rPr>
          <w:rStyle w:val="Hyperlink"/>
          <w:color w:val="000000" w:themeColor="text1"/>
          <w:u w:val="none"/>
        </w:rPr>
        <w:t xml:space="preserve">. </w:t>
      </w:r>
    </w:p>
  </w:footnote>
  <w:footnote w:id="138">
    <w:p w14:paraId="521F0716" w14:textId="084E7EFF" w:rsidR="00CD7B2E" w:rsidRPr="00D7773B" w:rsidRDefault="00CD7B2E" w:rsidP="0077131A">
      <w:pPr>
        <w:pStyle w:val="FRABodyText"/>
        <w:rPr>
          <w:sz w:val="20"/>
          <w:szCs w:val="20"/>
          <w:lang w:val="en-US"/>
        </w:rPr>
      </w:pPr>
      <w:r w:rsidRPr="00D7773B">
        <w:rPr>
          <w:rStyle w:val="FootnoteReference"/>
          <w:sz w:val="20"/>
          <w:szCs w:val="20"/>
        </w:rPr>
        <w:footnoteRef/>
      </w:r>
      <w:r w:rsidRPr="00D7773B">
        <w:rPr>
          <w:sz w:val="20"/>
          <w:szCs w:val="20"/>
        </w:rPr>
        <w:t xml:space="preserve"> </w:t>
      </w:r>
      <w:r w:rsidRPr="00D7773B">
        <w:rPr>
          <w:sz w:val="20"/>
          <w:szCs w:val="20"/>
          <w:lang w:val="en-US"/>
        </w:rPr>
        <w:t xml:space="preserve">Bulgaria, Ministry of Labour and Social Policy </w:t>
      </w:r>
      <w:r w:rsidRPr="00D7773B">
        <w:rPr>
          <w:i/>
          <w:sz w:val="20"/>
          <w:szCs w:val="20"/>
          <w:lang w:val="en-US"/>
        </w:rPr>
        <w:t>(</w:t>
      </w:r>
      <w:r w:rsidRPr="00D7773B">
        <w:rPr>
          <w:i/>
          <w:sz w:val="20"/>
          <w:szCs w:val="20"/>
          <w:lang w:val="bg-BG"/>
        </w:rPr>
        <w:t>Министерство на труда и социалната политика</w:t>
      </w:r>
      <w:r w:rsidRPr="00D7773B">
        <w:rPr>
          <w:i/>
          <w:sz w:val="20"/>
          <w:szCs w:val="20"/>
          <w:lang w:val="en-US"/>
        </w:rPr>
        <w:t>)</w:t>
      </w:r>
      <w:r w:rsidRPr="00D7773B">
        <w:rPr>
          <w:sz w:val="20"/>
          <w:szCs w:val="20"/>
        </w:rPr>
        <w:t xml:space="preserve">  </w:t>
      </w:r>
      <w:r w:rsidRPr="00D7773B">
        <w:rPr>
          <w:sz w:val="20"/>
          <w:szCs w:val="20"/>
          <w:lang w:val="en-US"/>
        </w:rPr>
        <w:t xml:space="preserve">Updated national strategy for demographic development of the population in the Republic of Bulgaria (2012-2030) </w:t>
      </w:r>
      <w:r w:rsidRPr="00D7773B">
        <w:rPr>
          <w:i/>
          <w:sz w:val="20"/>
          <w:szCs w:val="20"/>
          <w:lang w:val="en-US"/>
        </w:rPr>
        <w:t>(</w:t>
      </w:r>
      <w:r w:rsidRPr="00D7773B">
        <w:rPr>
          <w:i/>
          <w:sz w:val="20"/>
          <w:szCs w:val="20"/>
        </w:rPr>
        <w:t xml:space="preserve">Актуализирана национална стратегия за демографско развитие на </w:t>
      </w:r>
      <w:r w:rsidRPr="00D7773B">
        <w:rPr>
          <w:i/>
          <w:sz w:val="20"/>
          <w:szCs w:val="20"/>
          <w:lang w:val="bg-BG"/>
        </w:rPr>
        <w:t xml:space="preserve">населението в </w:t>
      </w:r>
      <w:r w:rsidRPr="00D7773B">
        <w:rPr>
          <w:i/>
          <w:sz w:val="20"/>
          <w:szCs w:val="20"/>
        </w:rPr>
        <w:t>Република България (2012‐2030)</w:t>
      </w:r>
      <w:r w:rsidRPr="00D7773B">
        <w:rPr>
          <w:sz w:val="20"/>
          <w:szCs w:val="20"/>
        </w:rPr>
        <w:t xml:space="preserve">, 1 February 2012, </w:t>
      </w:r>
      <w:hyperlink r:id="rId135" w:history="1">
        <w:r w:rsidRPr="00D7773B">
          <w:rPr>
            <w:rStyle w:val="Hyperlink"/>
            <w:sz w:val="20"/>
            <w:szCs w:val="20"/>
          </w:rPr>
          <w:t>https://www.strategy.bg/StrategicDocuments/View.aspx?lang=bg-BG&amp;Id=778</w:t>
        </w:r>
      </w:hyperlink>
      <w:r w:rsidRPr="00D7773B">
        <w:rPr>
          <w:sz w:val="20"/>
          <w:szCs w:val="20"/>
        </w:rPr>
        <w:t xml:space="preserve"> </w:t>
      </w:r>
      <w:r w:rsidRPr="00D7773B">
        <w:rPr>
          <w:sz w:val="20"/>
          <w:szCs w:val="20"/>
        </w:rPr>
        <w:tab/>
      </w:r>
    </w:p>
  </w:footnote>
  <w:footnote w:id="139">
    <w:p w14:paraId="55683AED" w14:textId="649054BB" w:rsidR="00CD7B2E" w:rsidRPr="00D7773B" w:rsidRDefault="00CD7B2E" w:rsidP="0077131A">
      <w:pPr>
        <w:pStyle w:val="FootnoteText"/>
      </w:pPr>
      <w:r w:rsidRPr="00D7773B">
        <w:rPr>
          <w:rStyle w:val="FootnoteReference"/>
        </w:rPr>
        <w:footnoteRef/>
      </w:r>
      <w:r w:rsidRPr="00D7773B">
        <w:t xml:space="preserve"> Bulgaria, National Assembly of the Republic of Bulgaria (</w:t>
      </w:r>
      <w:r w:rsidRPr="00D7773B">
        <w:rPr>
          <w:i/>
          <w:lang w:val="bg-BG"/>
        </w:rPr>
        <w:t>Народно събрание на Република България</w:t>
      </w:r>
      <w:r w:rsidRPr="00D7773B">
        <w:rPr>
          <w:lang w:val="bg-BG"/>
        </w:rPr>
        <w:t>)</w:t>
      </w:r>
      <w:r w:rsidRPr="00D7773B">
        <w:t xml:space="preserve"> (2008) National Strategy for the Child</w:t>
      </w:r>
      <w:r w:rsidRPr="00D7773B">
        <w:rPr>
          <w:lang w:val="bg-BG"/>
        </w:rPr>
        <w:t xml:space="preserve"> 2008-2018</w:t>
      </w:r>
      <w:r w:rsidRPr="00D7773B">
        <w:t xml:space="preserve"> (</w:t>
      </w:r>
      <w:r w:rsidRPr="00D7773B">
        <w:rPr>
          <w:i/>
          <w:lang w:val="bg-BG"/>
        </w:rPr>
        <w:t>Национална стратегия за детето</w:t>
      </w:r>
      <w:r w:rsidRPr="00D7773B">
        <w:rPr>
          <w:lang w:val="bg-BG"/>
        </w:rPr>
        <w:t xml:space="preserve"> </w:t>
      </w:r>
      <w:r w:rsidRPr="00D7773B">
        <w:rPr>
          <w:i/>
          <w:lang w:val="bg-BG"/>
        </w:rPr>
        <w:t>(2008-2018)</w:t>
      </w:r>
      <w:r w:rsidRPr="00D7773B">
        <w:t xml:space="preserve">), 31 January 2008, </w:t>
      </w:r>
      <w:hyperlink r:id="rId136" w:history="1">
        <w:r w:rsidRPr="00D7773B">
          <w:rPr>
            <w:rStyle w:val="Hyperlink"/>
          </w:rPr>
          <w:t>http://www.strategy.bg/StrategicDocuments/View.aspx?Id=464</w:t>
        </w:r>
      </w:hyperlink>
    </w:p>
  </w:footnote>
  <w:footnote w:id="140">
    <w:p w14:paraId="09A5E150" w14:textId="3CE88432" w:rsidR="00CD7B2E" w:rsidRPr="00D7773B" w:rsidRDefault="00CD7B2E" w:rsidP="0077131A">
      <w:pPr>
        <w:pStyle w:val="FootnoteText"/>
      </w:pPr>
      <w:r w:rsidRPr="00D7773B">
        <w:rPr>
          <w:rStyle w:val="FootnoteReference"/>
        </w:rPr>
        <w:footnoteRef/>
      </w:r>
      <w:r w:rsidRPr="00D7773B">
        <w:t xml:space="preserve"> Bulgaria, Council of Ministers </w:t>
      </w:r>
      <w:r w:rsidRPr="00D7773B">
        <w:rPr>
          <w:i/>
        </w:rPr>
        <w:t>(</w:t>
      </w:r>
      <w:r w:rsidRPr="00D7773B">
        <w:rPr>
          <w:i/>
          <w:lang w:val="bg-BG"/>
        </w:rPr>
        <w:t>Министерски съвет на Република България</w:t>
      </w:r>
      <w:r w:rsidRPr="00D7773B">
        <w:rPr>
          <w:i/>
        </w:rPr>
        <w:t>)</w:t>
      </w:r>
      <w:r w:rsidRPr="00D7773B">
        <w:rPr>
          <w:lang w:val="bg-BG"/>
        </w:rPr>
        <w:t>,</w:t>
      </w:r>
      <w:r w:rsidRPr="00D7773B">
        <w:t xml:space="preserve"> National Strategy for life-long Learning 2014-2020, 10 January 2014, </w:t>
      </w:r>
      <w:hyperlink r:id="rId137" w:history="1">
        <w:r w:rsidRPr="00D7773B">
          <w:rPr>
            <w:rStyle w:val="Hyperlink"/>
          </w:rPr>
          <w:t>http://www.strategy.bg/StrategicDocuments/View.aspx?Id=880</w:t>
        </w:r>
      </w:hyperlink>
    </w:p>
  </w:footnote>
  <w:footnote w:id="141">
    <w:p w14:paraId="233C2B49" w14:textId="4CB746F1" w:rsidR="00CD7B2E" w:rsidRPr="00D7773B" w:rsidRDefault="00CD7B2E" w:rsidP="0077131A">
      <w:pPr>
        <w:pStyle w:val="FootnoteText"/>
        <w:rPr>
          <w:lang w:val="bg-BG"/>
        </w:rPr>
      </w:pPr>
      <w:r w:rsidRPr="00D7773B">
        <w:rPr>
          <w:rStyle w:val="FootnoteReference"/>
        </w:rPr>
        <w:footnoteRef/>
      </w:r>
      <w:r w:rsidRPr="00D7773B">
        <w:t xml:space="preserve"> Bulgaria, Employment Agency </w:t>
      </w:r>
      <w:r w:rsidRPr="00D7773B">
        <w:rPr>
          <w:i/>
        </w:rPr>
        <w:t>(</w:t>
      </w:r>
      <w:r w:rsidRPr="00D7773B">
        <w:rPr>
          <w:i/>
          <w:lang w:val="bg-BG"/>
        </w:rPr>
        <w:t>Агенция по заетостта</w:t>
      </w:r>
      <w:r w:rsidRPr="00D7773B">
        <w:rPr>
          <w:i/>
        </w:rPr>
        <w:t>)</w:t>
      </w:r>
      <w:r w:rsidRPr="00D7773B">
        <w:rPr>
          <w:lang w:val="bg-BG"/>
        </w:rPr>
        <w:t xml:space="preserve">, </w:t>
      </w:r>
      <w:r w:rsidRPr="00D7773B">
        <w:t>National Programme Activation of the Inactive</w:t>
      </w:r>
      <w:r w:rsidRPr="00D7773B">
        <w:rPr>
          <w:lang w:val="bg-BG"/>
        </w:rPr>
        <w:t xml:space="preserve"> </w:t>
      </w:r>
      <w:r w:rsidRPr="00D7773B">
        <w:rPr>
          <w:i/>
          <w:lang w:val="bg-BG"/>
        </w:rPr>
        <w:t>(</w:t>
      </w:r>
      <w:r w:rsidRPr="00D7773B">
        <w:rPr>
          <w:i/>
        </w:rPr>
        <w:t>Национална програма "Активиране на неактивни лица"</w:t>
      </w:r>
      <w:r w:rsidRPr="00D7773B">
        <w:rPr>
          <w:i/>
          <w:lang w:val="bg-BG"/>
        </w:rPr>
        <w:t>)</w:t>
      </w:r>
      <w:r w:rsidRPr="00D7773B">
        <w:rPr>
          <w:lang w:val="bg-BG"/>
        </w:rPr>
        <w:t xml:space="preserve">, </w:t>
      </w:r>
      <w:r w:rsidRPr="00D7773B">
        <w:t xml:space="preserve"> https://www.az.government.bg/pages/nacionalna-programa-aktivirane-na-neaktivni-lica/#</w:t>
      </w:r>
      <w:r w:rsidRPr="00D7773B">
        <w:tab/>
        <w:t>NSI</w:t>
      </w:r>
      <w:r w:rsidRPr="00D7773B">
        <w:rPr>
          <w:lang w:val="bg-BG"/>
        </w:rPr>
        <w:t xml:space="preserve"> </w:t>
      </w:r>
    </w:p>
  </w:footnote>
  <w:footnote w:id="142">
    <w:p w14:paraId="55837D53" w14:textId="203EB02F" w:rsidR="00CD7B2E" w:rsidRPr="00D7773B" w:rsidRDefault="00CD7B2E" w:rsidP="0077131A">
      <w:pPr>
        <w:pStyle w:val="FootnoteText"/>
      </w:pPr>
      <w:r w:rsidRPr="00D7773B">
        <w:rPr>
          <w:rStyle w:val="FootnoteReference"/>
        </w:rPr>
        <w:footnoteRef/>
      </w:r>
      <w:r w:rsidRPr="00D7773B">
        <w:t xml:space="preserve"> Bulgaria, Council of Ministers </w:t>
      </w:r>
      <w:r w:rsidRPr="00D7773B">
        <w:rPr>
          <w:i/>
        </w:rPr>
        <w:t>(</w:t>
      </w:r>
      <w:r w:rsidRPr="00D7773B">
        <w:rPr>
          <w:i/>
          <w:lang w:val="bg-BG"/>
        </w:rPr>
        <w:t>Министерски съвет на Република България</w:t>
      </w:r>
      <w:r w:rsidRPr="00D7773B">
        <w:rPr>
          <w:i/>
        </w:rPr>
        <w:t>)</w:t>
      </w:r>
      <w:r w:rsidRPr="00D7773B">
        <w:rPr>
          <w:lang w:val="bg-BG"/>
        </w:rPr>
        <w:t>,</w:t>
      </w:r>
      <w:r w:rsidRPr="00D7773B">
        <w:t xml:space="preserve"> National Implementation Plan for European Youth Guarantee (NIPEYG) 2014 – 2020, 18 December 2013, </w:t>
      </w:r>
      <w:hyperlink r:id="rId138" w:history="1">
        <w:r w:rsidRPr="00D7773B">
          <w:rPr>
            <w:rStyle w:val="Hyperlink"/>
          </w:rPr>
          <w:t>https://www.strategy.bg/StrategicDocuments/View.aspx?lang=bg-BG&amp;Id=883</w:t>
        </w:r>
      </w:hyperlink>
    </w:p>
  </w:footnote>
  <w:footnote w:id="143">
    <w:p w14:paraId="228EB8AB" w14:textId="6F46E266" w:rsidR="00CD7B2E" w:rsidRPr="0079628A" w:rsidRDefault="00CD7B2E" w:rsidP="0077131A">
      <w:pPr>
        <w:pStyle w:val="FootnoteText"/>
      </w:pPr>
      <w:r>
        <w:rPr>
          <w:rStyle w:val="FootnoteReference"/>
        </w:rPr>
        <w:footnoteRef/>
      </w:r>
      <w:r>
        <w:t xml:space="preserve"> </w:t>
      </w:r>
      <w:r w:rsidRPr="001923B0">
        <w:rPr>
          <w:rStyle w:val="tlid-translation"/>
          <w:lang w:val="en"/>
        </w:rPr>
        <w:t xml:space="preserve">Madrid International Plan of Action </w:t>
      </w:r>
      <w:r>
        <w:rPr>
          <w:rStyle w:val="tlid-translation"/>
          <w:lang w:val="en"/>
        </w:rPr>
        <w:t>on</w:t>
      </w:r>
      <w:r w:rsidRPr="001923B0">
        <w:rPr>
          <w:rStyle w:val="tlid-translation"/>
          <w:lang w:val="en"/>
        </w:rPr>
        <w:t xml:space="preserve"> Ag</w:t>
      </w:r>
      <w:r>
        <w:rPr>
          <w:rStyle w:val="tlid-translation"/>
          <w:lang w:val="en"/>
        </w:rPr>
        <w:t>e</w:t>
      </w:r>
      <w:r w:rsidRPr="001923B0">
        <w:rPr>
          <w:rStyle w:val="tlid-translation"/>
          <w:lang w:val="en"/>
        </w:rPr>
        <w:t>ing, Program</w:t>
      </w:r>
      <w:r>
        <w:rPr>
          <w:rStyle w:val="tlid-translation"/>
          <w:lang w:val="en"/>
        </w:rPr>
        <w:t>me</w:t>
      </w:r>
      <w:r w:rsidRPr="001923B0">
        <w:rPr>
          <w:rStyle w:val="tlid-translation"/>
          <w:lang w:val="en"/>
        </w:rPr>
        <w:t xml:space="preserve"> of Action adopted by the International Conference on Population and Development,</w:t>
      </w:r>
      <w:r w:rsidRPr="001923B0">
        <w:rPr>
          <w:rStyle w:val="tlid-translation"/>
          <w:lang w:val="bg-BG"/>
        </w:rPr>
        <w:t xml:space="preserve"> Strategy and </w:t>
      </w:r>
      <w:r w:rsidRPr="001923B0">
        <w:rPr>
          <w:rStyle w:val="tlid-translation"/>
        </w:rPr>
        <w:t>A</w:t>
      </w:r>
      <w:r w:rsidRPr="001923B0">
        <w:rPr>
          <w:rStyle w:val="tlid-translation"/>
          <w:lang w:val="bg-BG"/>
        </w:rPr>
        <w:t>ction plan for healthy ageing in</w:t>
      </w:r>
      <w:r w:rsidRPr="001923B0">
        <w:rPr>
          <w:rStyle w:val="tlid-translation"/>
        </w:rPr>
        <w:t xml:space="preserve"> </w:t>
      </w:r>
      <w:r w:rsidRPr="001923B0">
        <w:rPr>
          <w:rStyle w:val="tlid-translation"/>
          <w:lang w:val="bg-BG"/>
        </w:rPr>
        <w:t>Europe, 2012–2020</w:t>
      </w:r>
      <w:r>
        <w:rPr>
          <w:rStyle w:val="tlid-translation"/>
        </w:rPr>
        <w:t>,</w:t>
      </w:r>
      <w:r w:rsidRPr="001923B0">
        <w:rPr>
          <w:rStyle w:val="tlid-translation"/>
        </w:rPr>
        <w:t xml:space="preserve"> etc.</w:t>
      </w:r>
    </w:p>
  </w:footnote>
  <w:footnote w:id="144">
    <w:p w14:paraId="350D17B5" w14:textId="77777777" w:rsidR="00CD7B2E" w:rsidRPr="00D7773B" w:rsidRDefault="00CD7B2E" w:rsidP="0077131A">
      <w:pPr>
        <w:pStyle w:val="FootnoteText"/>
      </w:pPr>
      <w:r w:rsidRPr="00D7773B">
        <w:rPr>
          <w:rStyle w:val="FootnoteReference"/>
        </w:rPr>
        <w:footnoteRef/>
      </w:r>
      <w:r w:rsidRPr="00D7773B">
        <w:t xml:space="preserve"> Bulgaria, </w:t>
      </w:r>
      <w:r w:rsidRPr="00D7773B">
        <w:rPr>
          <w:rStyle w:val="tlid-translation"/>
        </w:rPr>
        <w:t xml:space="preserve">National strategy for </w:t>
      </w:r>
      <w:r w:rsidRPr="00D7773B">
        <w:rPr>
          <w:rStyle w:val="tlid-translation"/>
          <w:lang w:val="bg-BG"/>
        </w:rPr>
        <w:t>Active Ageing in Bulgaria 2019-2030</w:t>
      </w:r>
      <w:r w:rsidRPr="00D7773B">
        <w:rPr>
          <w:rStyle w:val="tlid-translation"/>
        </w:rPr>
        <w:t xml:space="preserve"> (</w:t>
      </w:r>
      <w:r w:rsidRPr="00D7773B">
        <w:rPr>
          <w:rStyle w:val="tlid-translation"/>
          <w:i/>
          <w:lang w:val="bg-BG"/>
        </w:rPr>
        <w:t>Национална стратегия за активен живот на възрастните хора в България 2019-2030</w:t>
      </w:r>
      <w:r w:rsidRPr="00D7773B">
        <w:rPr>
          <w:rStyle w:val="tlid-translation"/>
        </w:rPr>
        <w:t xml:space="preserve">), 2019, </w:t>
      </w:r>
      <w:hyperlink r:id="rId139" w:history="1">
        <w:r w:rsidRPr="00D7773B">
          <w:rPr>
            <w:rStyle w:val="Hyperlink"/>
          </w:rPr>
          <w:t>https://www.mlsp.government.bg/ckfinder/userfiles/files/politiki/demografska%20politika/nacionalni%20strategicheski%20dokumenti/National_agieng_strategy_2019-2030.pdf</w:t>
        </w:r>
      </w:hyperlink>
    </w:p>
  </w:footnote>
  <w:footnote w:id="145">
    <w:p w14:paraId="308AFB9E" w14:textId="77777777" w:rsidR="00CD7B2E" w:rsidRPr="00D7773B" w:rsidRDefault="00CD7B2E" w:rsidP="0077131A">
      <w:pPr>
        <w:pStyle w:val="FRABodyText"/>
        <w:rPr>
          <w:sz w:val="20"/>
          <w:szCs w:val="20"/>
          <w:lang w:val="en-US"/>
        </w:rPr>
      </w:pPr>
      <w:r w:rsidRPr="00D7773B">
        <w:rPr>
          <w:rStyle w:val="FootnoteReference"/>
          <w:sz w:val="20"/>
          <w:szCs w:val="20"/>
        </w:rPr>
        <w:footnoteRef/>
      </w:r>
      <w:r w:rsidRPr="00D7773B">
        <w:rPr>
          <w:sz w:val="20"/>
          <w:szCs w:val="20"/>
        </w:rPr>
        <w:t xml:space="preserve"> </w:t>
      </w:r>
      <w:r w:rsidRPr="00D7773B">
        <w:rPr>
          <w:sz w:val="20"/>
          <w:szCs w:val="20"/>
          <w:lang w:val="en-US"/>
        </w:rPr>
        <w:t xml:space="preserve">Bulgaria, Ministry of Labour and Social Policy </w:t>
      </w:r>
      <w:r w:rsidRPr="00D7773B">
        <w:rPr>
          <w:i/>
          <w:sz w:val="20"/>
          <w:szCs w:val="20"/>
          <w:lang w:val="en-US"/>
        </w:rPr>
        <w:t>(</w:t>
      </w:r>
      <w:r w:rsidRPr="00D7773B">
        <w:rPr>
          <w:i/>
          <w:sz w:val="20"/>
          <w:szCs w:val="20"/>
          <w:lang w:val="bg-BG"/>
        </w:rPr>
        <w:t>Министерство на труда и социалната политика</w:t>
      </w:r>
      <w:r w:rsidRPr="00D7773B">
        <w:rPr>
          <w:i/>
          <w:sz w:val="20"/>
          <w:szCs w:val="20"/>
          <w:lang w:val="en-US"/>
        </w:rPr>
        <w:t>)</w:t>
      </w:r>
      <w:r w:rsidRPr="00D7773B">
        <w:rPr>
          <w:sz w:val="20"/>
          <w:szCs w:val="20"/>
        </w:rPr>
        <w:t xml:space="preserve">  </w:t>
      </w:r>
      <w:r w:rsidRPr="00D7773B">
        <w:rPr>
          <w:sz w:val="20"/>
          <w:szCs w:val="20"/>
          <w:lang w:val="en-US"/>
        </w:rPr>
        <w:t xml:space="preserve">Updated national strategy for demographic development of the population in the Republic of Bulgaria (2012-2030) </w:t>
      </w:r>
      <w:r w:rsidRPr="00D7773B">
        <w:rPr>
          <w:i/>
          <w:sz w:val="20"/>
          <w:szCs w:val="20"/>
          <w:lang w:val="en-US"/>
        </w:rPr>
        <w:t>(</w:t>
      </w:r>
      <w:r w:rsidRPr="00D7773B">
        <w:rPr>
          <w:i/>
          <w:sz w:val="20"/>
          <w:szCs w:val="20"/>
        </w:rPr>
        <w:t xml:space="preserve">Актуализирана национална стратегия за демографско развитие на </w:t>
      </w:r>
      <w:r w:rsidRPr="00D7773B">
        <w:rPr>
          <w:i/>
          <w:sz w:val="20"/>
          <w:szCs w:val="20"/>
          <w:lang w:val="bg-BG"/>
        </w:rPr>
        <w:t xml:space="preserve">населението в </w:t>
      </w:r>
      <w:r w:rsidRPr="00D7773B">
        <w:rPr>
          <w:i/>
          <w:sz w:val="20"/>
          <w:szCs w:val="20"/>
        </w:rPr>
        <w:t>Република България (2012‐2030)</w:t>
      </w:r>
      <w:r w:rsidRPr="00D7773B">
        <w:rPr>
          <w:sz w:val="20"/>
          <w:szCs w:val="20"/>
        </w:rPr>
        <w:t xml:space="preserve">, 1 February 2012, </w:t>
      </w:r>
      <w:hyperlink r:id="rId140" w:history="1">
        <w:r w:rsidRPr="00D7773B">
          <w:rPr>
            <w:rStyle w:val="Hyperlink"/>
            <w:sz w:val="20"/>
            <w:szCs w:val="20"/>
          </w:rPr>
          <w:t>https://www.strategy.bg/StrategicDocuments/View.aspx?lang=bg-BG&amp;Id=778</w:t>
        </w:r>
      </w:hyperlink>
      <w:r w:rsidRPr="00D7773B">
        <w:rPr>
          <w:sz w:val="20"/>
          <w:szCs w:val="20"/>
        </w:rPr>
        <w:t xml:space="preserve"> </w:t>
      </w:r>
      <w:r w:rsidRPr="00D7773B">
        <w:rPr>
          <w:sz w:val="20"/>
          <w:szCs w:val="20"/>
        </w:rPr>
        <w:tab/>
      </w:r>
    </w:p>
  </w:footnote>
  <w:footnote w:id="146">
    <w:p w14:paraId="2E353173" w14:textId="73752B6B" w:rsidR="00CD7B2E" w:rsidRPr="00D7773B" w:rsidRDefault="00CD7B2E" w:rsidP="0077131A">
      <w:pPr>
        <w:rPr>
          <w:sz w:val="20"/>
          <w:szCs w:val="20"/>
          <w:lang w:val="bg-BG"/>
        </w:rPr>
      </w:pPr>
      <w:r w:rsidRPr="00D7773B">
        <w:rPr>
          <w:rStyle w:val="FootnoteReference"/>
          <w:sz w:val="20"/>
          <w:szCs w:val="20"/>
        </w:rPr>
        <w:footnoteRef/>
      </w:r>
      <w:r w:rsidRPr="00D7773B">
        <w:rPr>
          <w:rStyle w:val="tlid-translation"/>
          <w:sz w:val="20"/>
          <w:szCs w:val="20"/>
        </w:rPr>
        <w:t xml:space="preserve"> </w:t>
      </w:r>
      <w:r w:rsidRPr="00045052">
        <w:rPr>
          <w:rStyle w:val="tlid-translation"/>
          <w:sz w:val="20"/>
          <w:szCs w:val="20"/>
        </w:rPr>
        <w:t xml:space="preserve">Bulgaria, National Concept </w:t>
      </w:r>
      <w:r w:rsidRPr="00045052">
        <w:rPr>
          <w:rStyle w:val="tlid-translation"/>
          <w:sz w:val="20"/>
          <w:szCs w:val="20"/>
          <w:lang w:val="bg-BG"/>
        </w:rPr>
        <w:t>for Active Ageing in Bulgaria 2012 – 2030</w:t>
      </w:r>
      <w:r w:rsidRPr="00045052">
        <w:rPr>
          <w:rStyle w:val="tlid-translation"/>
          <w:sz w:val="20"/>
          <w:szCs w:val="20"/>
        </w:rPr>
        <w:t xml:space="preserve"> (</w:t>
      </w:r>
      <w:r w:rsidRPr="00045052">
        <w:rPr>
          <w:rStyle w:val="tlid-translation"/>
          <w:i/>
          <w:sz w:val="20"/>
          <w:szCs w:val="20"/>
          <w:lang w:val="bg-BG"/>
        </w:rPr>
        <w:t>Национална концепция за насърчаване на активния живот на възрастните хора 2012 – 2030 г</w:t>
      </w:r>
      <w:r w:rsidRPr="00045052">
        <w:rPr>
          <w:rStyle w:val="tlid-translation"/>
          <w:sz w:val="20"/>
          <w:szCs w:val="20"/>
          <w:lang w:val="bg-BG"/>
        </w:rPr>
        <w:t>.)</w:t>
      </w:r>
      <w:r w:rsidRPr="00045052">
        <w:rPr>
          <w:rStyle w:val="tlid-translation"/>
          <w:sz w:val="20"/>
          <w:szCs w:val="20"/>
        </w:rPr>
        <w:t xml:space="preserve">, 20 June 2012, </w:t>
      </w:r>
      <w:hyperlink r:id="rId141" w:history="1">
        <w:r w:rsidRPr="00045052">
          <w:rPr>
            <w:rStyle w:val="Hyperlink"/>
            <w:sz w:val="20"/>
            <w:szCs w:val="20"/>
            <w:lang w:val="bg-BG"/>
          </w:rPr>
          <w:t>https://www.strategy.bg/StrategicDocuments/View.aspx?lang=bg-BG&amp;Id=764</w:t>
        </w:r>
      </w:hyperlink>
      <w:r w:rsidRPr="00045052">
        <w:rPr>
          <w:rStyle w:val="Hyperlink"/>
          <w:color w:val="000000" w:themeColor="text1"/>
          <w:sz w:val="20"/>
          <w:szCs w:val="20"/>
          <w:u w:val="none"/>
        </w:rPr>
        <w:t>, based on, among others,</w:t>
      </w:r>
      <w:r w:rsidRPr="00045052">
        <w:rPr>
          <w:rStyle w:val="Hyperlink"/>
          <w:sz w:val="20"/>
          <w:szCs w:val="20"/>
        </w:rPr>
        <w:t xml:space="preserve"> </w:t>
      </w:r>
      <w:r w:rsidRPr="00045052">
        <w:rPr>
          <w:rStyle w:val="tlid-translation"/>
          <w:sz w:val="20"/>
          <w:szCs w:val="20"/>
          <w:lang w:val="bg-BG"/>
        </w:rPr>
        <w:t>the parameters formulated by</w:t>
      </w:r>
      <w:r w:rsidRPr="00045052">
        <w:rPr>
          <w:rStyle w:val="tlid-translation"/>
          <w:sz w:val="20"/>
          <w:szCs w:val="20"/>
        </w:rPr>
        <w:t xml:space="preserve"> t</w:t>
      </w:r>
      <w:r w:rsidRPr="00045052">
        <w:rPr>
          <w:rStyle w:val="tlid-translation"/>
          <w:sz w:val="20"/>
          <w:szCs w:val="20"/>
          <w:lang w:val="bg-BG"/>
        </w:rPr>
        <w:t xml:space="preserve">he </w:t>
      </w:r>
      <w:r w:rsidRPr="00045052">
        <w:rPr>
          <w:rStyle w:val="tlid-translation"/>
          <w:sz w:val="20"/>
          <w:szCs w:val="20"/>
        </w:rPr>
        <w:t xml:space="preserve">1999 </w:t>
      </w:r>
      <w:r w:rsidRPr="00045052">
        <w:rPr>
          <w:rStyle w:val="tlid-translation"/>
          <w:sz w:val="20"/>
          <w:szCs w:val="20"/>
          <w:lang w:val="bg-BG"/>
        </w:rPr>
        <w:t>European Commission Communication</w:t>
      </w:r>
      <w:r w:rsidRPr="00045052">
        <w:rPr>
          <w:rStyle w:val="tlid-translation"/>
          <w:sz w:val="20"/>
          <w:szCs w:val="20"/>
        </w:rPr>
        <w:t xml:space="preserve"> ‘Towards a </w:t>
      </w:r>
      <w:r w:rsidRPr="00045052">
        <w:rPr>
          <w:rStyle w:val="tlid-translation"/>
          <w:sz w:val="20"/>
          <w:szCs w:val="20"/>
          <w:lang w:val="bg-BG"/>
        </w:rPr>
        <w:t>Europe for all ages'</w:t>
      </w:r>
      <w:r w:rsidRPr="00045052">
        <w:rPr>
          <w:rStyle w:val="tlid-translation"/>
          <w:sz w:val="20"/>
          <w:szCs w:val="20"/>
          <w:lang w:val="bg-BG"/>
        </w:rPr>
        <w:tab/>
      </w:r>
      <w:r w:rsidRPr="00045052">
        <w:rPr>
          <w:rStyle w:val="tlid-translation"/>
          <w:sz w:val="20"/>
          <w:szCs w:val="20"/>
          <w:lang w:val="bg-BG"/>
        </w:rPr>
        <w:tab/>
      </w:r>
    </w:p>
  </w:footnote>
  <w:footnote w:id="147">
    <w:p w14:paraId="08711574" w14:textId="29063484" w:rsidR="00CD7B2E" w:rsidRPr="008E576F" w:rsidRDefault="00CD7B2E" w:rsidP="0077131A">
      <w:pPr>
        <w:pStyle w:val="FootnoteText"/>
        <w:rPr>
          <w:lang w:val="bg-BG"/>
        </w:rPr>
      </w:pPr>
      <w:r w:rsidRPr="00D7773B">
        <w:rPr>
          <w:rStyle w:val="FootnoteReference"/>
        </w:rPr>
        <w:footnoteRef/>
      </w:r>
      <w:r w:rsidRPr="008E576F">
        <w:rPr>
          <w:lang w:val="bg-BG"/>
        </w:rPr>
        <w:t xml:space="preserve"> </w:t>
      </w:r>
      <w:r w:rsidRPr="00D7773B">
        <w:t>Bulgaria</w:t>
      </w:r>
      <w:r w:rsidRPr="008E576F">
        <w:rPr>
          <w:lang w:val="bg-BG"/>
        </w:rPr>
        <w:t xml:space="preserve">, </w:t>
      </w:r>
      <w:r w:rsidRPr="00D7773B">
        <w:t>Operational</w:t>
      </w:r>
      <w:r w:rsidRPr="008E576F">
        <w:rPr>
          <w:lang w:val="bg-BG"/>
        </w:rPr>
        <w:t xml:space="preserve"> </w:t>
      </w:r>
      <w:r w:rsidRPr="00D7773B">
        <w:t>Programme</w:t>
      </w:r>
      <w:r w:rsidRPr="008E576F">
        <w:rPr>
          <w:lang w:val="bg-BG"/>
        </w:rPr>
        <w:t xml:space="preserve"> "</w:t>
      </w:r>
      <w:r w:rsidRPr="00D7773B">
        <w:t>Human</w:t>
      </w:r>
      <w:r w:rsidRPr="008E576F">
        <w:rPr>
          <w:lang w:val="bg-BG"/>
        </w:rPr>
        <w:t xml:space="preserve"> </w:t>
      </w:r>
      <w:r w:rsidRPr="00D7773B">
        <w:t>Resources</w:t>
      </w:r>
      <w:r w:rsidRPr="008E576F">
        <w:rPr>
          <w:lang w:val="bg-BG"/>
        </w:rPr>
        <w:t xml:space="preserve"> </w:t>
      </w:r>
      <w:r w:rsidRPr="00D7773B">
        <w:t>Development</w:t>
      </w:r>
      <w:r w:rsidRPr="008E576F">
        <w:rPr>
          <w:lang w:val="bg-BG"/>
        </w:rPr>
        <w:t xml:space="preserve">" 2007-2013 </w:t>
      </w:r>
      <w:r w:rsidRPr="008E576F">
        <w:rPr>
          <w:i/>
          <w:lang w:val="bg-BG"/>
        </w:rPr>
        <w:t>(Оперативна програма "Развитие на човешките ресурси" 2007-2013</w:t>
      </w:r>
      <w:r w:rsidRPr="008E576F">
        <w:rPr>
          <w:lang w:val="bg-BG"/>
        </w:rPr>
        <w:t xml:space="preserve">), 2007, </w:t>
      </w:r>
      <w:hyperlink r:id="rId142" w:history="1">
        <w:r w:rsidRPr="00D7773B">
          <w:rPr>
            <w:rStyle w:val="Hyperlink"/>
          </w:rPr>
          <w:t>http</w:t>
        </w:r>
        <w:r w:rsidRPr="008E576F">
          <w:rPr>
            <w:rStyle w:val="Hyperlink"/>
            <w:lang w:val="bg-BG"/>
          </w:rPr>
          <w:t>://</w:t>
        </w:r>
        <w:r w:rsidRPr="00D7773B">
          <w:rPr>
            <w:rStyle w:val="Hyperlink"/>
          </w:rPr>
          <w:t>ophrd</w:t>
        </w:r>
        <w:r w:rsidRPr="008E576F">
          <w:rPr>
            <w:rStyle w:val="Hyperlink"/>
            <w:lang w:val="bg-BG"/>
          </w:rPr>
          <w:t>.</w:t>
        </w:r>
        <w:r w:rsidRPr="00D7773B">
          <w:rPr>
            <w:rStyle w:val="Hyperlink"/>
          </w:rPr>
          <w:t>government</w:t>
        </w:r>
        <w:r w:rsidRPr="008E576F">
          <w:rPr>
            <w:rStyle w:val="Hyperlink"/>
            <w:lang w:val="bg-BG"/>
          </w:rPr>
          <w:t>.</w:t>
        </w:r>
        <w:r w:rsidRPr="00D7773B">
          <w:rPr>
            <w:rStyle w:val="Hyperlink"/>
          </w:rPr>
          <w:t>bg</w:t>
        </w:r>
        <w:r w:rsidRPr="008E576F">
          <w:rPr>
            <w:rStyle w:val="Hyperlink"/>
            <w:lang w:val="bg-BG"/>
          </w:rPr>
          <w:t>/</w:t>
        </w:r>
      </w:hyperlink>
    </w:p>
  </w:footnote>
  <w:footnote w:id="148">
    <w:p w14:paraId="7550B5DD" w14:textId="36C9E669" w:rsidR="00CD7B2E" w:rsidRPr="00D7773B" w:rsidRDefault="00CD7B2E" w:rsidP="0077131A">
      <w:pPr>
        <w:pStyle w:val="FootnoteText"/>
      </w:pPr>
      <w:r w:rsidRPr="00D7773B">
        <w:rPr>
          <w:rStyle w:val="FootnoteReference"/>
        </w:rPr>
        <w:footnoteRef/>
      </w:r>
      <w:r w:rsidRPr="00D7773B">
        <w:t xml:space="preserve"> Bulgaria, The National Strategy for </w:t>
      </w:r>
      <w:r>
        <w:t>L</w:t>
      </w:r>
      <w:r w:rsidRPr="00D7773B">
        <w:t>ife-</w:t>
      </w:r>
      <w:r>
        <w:t>L</w:t>
      </w:r>
      <w:r w:rsidRPr="00D7773B">
        <w:t>ong Learning</w:t>
      </w:r>
      <w:r w:rsidRPr="00D7773B">
        <w:rPr>
          <w:lang w:val="bg-BG"/>
        </w:rPr>
        <w:t xml:space="preserve"> 2014-2020</w:t>
      </w:r>
      <w:r w:rsidRPr="00D7773B">
        <w:t xml:space="preserve"> ( </w:t>
      </w:r>
      <w:r w:rsidRPr="00D7773B">
        <w:rPr>
          <w:i/>
        </w:rPr>
        <w:t>Национална стратегия за учене през целия живот</w:t>
      </w:r>
      <w:r w:rsidRPr="00D7773B">
        <w:rPr>
          <w:i/>
          <w:lang w:val="bg-BG"/>
        </w:rPr>
        <w:t xml:space="preserve"> 2014-2020</w:t>
      </w:r>
      <w:r w:rsidRPr="00D7773B">
        <w:t xml:space="preserve">), </w:t>
      </w:r>
      <w:r>
        <w:t xml:space="preserve">10 January </w:t>
      </w:r>
      <w:r w:rsidRPr="00D7773B">
        <w:t xml:space="preserve">2014, </w:t>
      </w:r>
      <w:hyperlink r:id="rId143" w:history="1">
        <w:r w:rsidRPr="00D7773B">
          <w:rPr>
            <w:rStyle w:val="Hyperlink"/>
          </w:rPr>
          <w:t>http://www.strategy.bg/StrategicDocuments/View.aspx?Id=880</w:t>
        </w:r>
      </w:hyperlink>
    </w:p>
  </w:footnote>
  <w:footnote w:id="149">
    <w:p w14:paraId="10287206" w14:textId="66AE19FC" w:rsidR="00CD7B2E" w:rsidRPr="00D0791C" w:rsidRDefault="00CD7B2E" w:rsidP="0077131A">
      <w:pPr>
        <w:pStyle w:val="FootnoteText"/>
      </w:pPr>
      <w:r w:rsidRPr="00D7773B">
        <w:rPr>
          <w:rStyle w:val="FootnoteReference"/>
        </w:rPr>
        <w:footnoteRef/>
      </w:r>
      <w:r w:rsidRPr="00D7773B">
        <w:t xml:space="preserve"> Bulgaria, National Strategy for Long-</w:t>
      </w:r>
      <w:r>
        <w:t>T</w:t>
      </w:r>
      <w:r w:rsidRPr="00D7773B">
        <w:t>erm Care</w:t>
      </w:r>
      <w:r w:rsidRPr="00D7773B">
        <w:rPr>
          <w:lang w:val="bg-BG"/>
        </w:rPr>
        <w:t xml:space="preserve">, </w:t>
      </w:r>
      <w:r>
        <w:t xml:space="preserve">7 January </w:t>
      </w:r>
      <w:r w:rsidRPr="00D7773B">
        <w:rPr>
          <w:lang w:val="bg-BG"/>
        </w:rPr>
        <w:t xml:space="preserve">2014,  </w:t>
      </w:r>
      <w:hyperlink r:id="rId144" w:history="1">
        <w:r w:rsidRPr="00D7773B">
          <w:rPr>
            <w:rStyle w:val="Hyperlink"/>
            <w:lang w:val="bg-BG"/>
          </w:rPr>
          <w:t>http://strategy.bg/StrategicDocuments/View.aspx?lang=bg-BG&amp;Id=882</w:t>
        </w:r>
      </w:hyperlink>
      <w:r>
        <w:t xml:space="preserve"> </w:t>
      </w:r>
      <w:r w:rsidRPr="00D0791C">
        <w:t>The Strategy has been developed in line with the Country-specific EU</w:t>
      </w:r>
      <w:r>
        <w:t xml:space="preserve"> r</w:t>
      </w:r>
      <w:r w:rsidRPr="00D0791C">
        <w:t>ecommendations in this field, the best practices of the Member States and a number of</w:t>
      </w:r>
      <w:r>
        <w:t xml:space="preserve"> </w:t>
      </w:r>
      <w:r w:rsidRPr="00D0791C">
        <w:t xml:space="preserve">international </w:t>
      </w:r>
      <w:r>
        <w:t xml:space="preserve">instruments, among which the </w:t>
      </w:r>
      <w:r w:rsidRPr="00D0791C">
        <w:t xml:space="preserve">UN Convention on the Rights of Persons with Disabilities and </w:t>
      </w:r>
      <w:r>
        <w:t>its</w:t>
      </w:r>
      <w:r w:rsidRPr="00D0791C">
        <w:t xml:space="preserve"> Optional Protocol</w:t>
      </w:r>
      <w:r>
        <w:t>, the ECHR, the</w:t>
      </w:r>
      <w:r w:rsidRPr="00D0791C">
        <w:t xml:space="preserve"> Charter of Fundamental Rights of the European Union</w:t>
      </w:r>
      <w:r>
        <w:t>, the</w:t>
      </w:r>
      <w:r w:rsidRPr="00D0791C">
        <w:t xml:space="preserve"> European Social Charter;</w:t>
      </w:r>
      <w:r>
        <w:t xml:space="preserve"> the </w:t>
      </w:r>
      <w:r w:rsidRPr="00D0791C">
        <w:t>European Charter of the rights and responsibilities of older people in need of longterm care and assistance;</w:t>
      </w:r>
      <w:r>
        <w:t xml:space="preserve"> the</w:t>
      </w:r>
      <w:r w:rsidRPr="00D0791C">
        <w:t xml:space="preserve"> European Charter for Family Carers</w:t>
      </w:r>
    </w:p>
  </w:footnote>
  <w:footnote w:id="150">
    <w:p w14:paraId="609026BF" w14:textId="77777777" w:rsidR="00CD7B2E" w:rsidRPr="00D7773B" w:rsidRDefault="00CD7B2E" w:rsidP="0077131A">
      <w:pPr>
        <w:pStyle w:val="FootnoteText"/>
        <w:rPr>
          <w:i/>
        </w:rPr>
      </w:pPr>
      <w:r w:rsidRPr="00D7773B">
        <w:rPr>
          <w:rStyle w:val="FootnoteReference"/>
        </w:rPr>
        <w:footnoteRef/>
      </w:r>
      <w:r w:rsidRPr="00D7773B">
        <w:t xml:space="preserve"> Bulgaria, National Housing Strategy (</w:t>
      </w:r>
      <w:r w:rsidRPr="00D7773B">
        <w:rPr>
          <w:i/>
        </w:rPr>
        <w:t>Национална жилищна стратегия),</w:t>
      </w:r>
      <w:r w:rsidRPr="00D7773B">
        <w:t xml:space="preserve"> 14 May 2004, </w:t>
      </w:r>
      <w:hyperlink r:id="rId145" w:history="1">
        <w:r w:rsidRPr="00D7773B">
          <w:rPr>
            <w:rStyle w:val="Hyperlink"/>
          </w:rPr>
          <w:t>http://www.strategy.bg/StrategicDocuments/View.aspx?lang=bg-BG&amp;Id=431</w:t>
        </w:r>
      </w:hyperlink>
      <w:r w:rsidRPr="00D7773B">
        <w:rPr>
          <w:i/>
        </w:rPr>
        <w:tab/>
      </w:r>
    </w:p>
  </w:footnote>
  <w:footnote w:id="151">
    <w:p w14:paraId="0E8972E6" w14:textId="363EF404" w:rsidR="00CD7B2E" w:rsidRPr="00D7773B" w:rsidRDefault="00CD7B2E" w:rsidP="0077131A">
      <w:pPr>
        <w:pStyle w:val="FootnoteText"/>
      </w:pPr>
      <w:r w:rsidRPr="00D7773B">
        <w:rPr>
          <w:rStyle w:val="FootnoteReference"/>
        </w:rPr>
        <w:footnoteRef/>
      </w:r>
      <w:r w:rsidRPr="00D7773B">
        <w:t xml:space="preserve"> Bulgaria, Draft National Housing Strategy 2018-2030 (</w:t>
      </w:r>
      <w:r w:rsidRPr="00D7773B">
        <w:rPr>
          <w:i/>
        </w:rPr>
        <w:t xml:space="preserve">Проект Национална жилищна стратегия 2018-2030), </w:t>
      </w:r>
      <w:r w:rsidRPr="00086379">
        <w:rPr>
          <w:iCs/>
        </w:rPr>
        <w:t>30 June 201</w:t>
      </w:r>
      <w:r w:rsidRPr="00086379">
        <w:rPr>
          <w:iCs/>
          <w:lang w:val="bg-BG"/>
        </w:rPr>
        <w:t>8</w:t>
      </w:r>
      <w:r>
        <w:rPr>
          <w:i/>
        </w:rPr>
        <w:t xml:space="preserve">, </w:t>
      </w:r>
      <w:hyperlink r:id="rId146" w:history="1">
        <w:r w:rsidRPr="003A5A7C">
          <w:rPr>
            <w:rStyle w:val="Hyperlink"/>
          </w:rPr>
          <w:t>http://www.strategy.bg/PublicConsultations/View.aspx?lang=bg-BG&amp;Id=3607</w:t>
        </w:r>
      </w:hyperlink>
      <w:r w:rsidRPr="00D7773B">
        <w:rPr>
          <w:i/>
        </w:rPr>
        <w:tab/>
      </w:r>
    </w:p>
  </w:footnote>
  <w:footnote w:id="152">
    <w:p w14:paraId="6C6AC84B" w14:textId="77777777" w:rsidR="00CD7B2E" w:rsidRPr="00D7773B" w:rsidRDefault="00CD7B2E" w:rsidP="0077131A">
      <w:pPr>
        <w:pStyle w:val="FootnoteText"/>
      </w:pPr>
      <w:r w:rsidRPr="00D7773B">
        <w:rPr>
          <w:rStyle w:val="FootnoteReference"/>
        </w:rPr>
        <w:footnoteRef/>
      </w:r>
      <w:r w:rsidRPr="00D7773B">
        <w:t xml:space="preserve"> Bulgaria, </w:t>
      </w:r>
      <w:r w:rsidRPr="00D7773B">
        <w:rPr>
          <w:color w:val="000000" w:themeColor="text1"/>
        </w:rPr>
        <w:t>National Programme for the Renewal of Residential Buildings in Bulgaria (</w:t>
      </w:r>
      <w:r w:rsidRPr="00D7773B">
        <w:rPr>
          <w:i/>
          <w:color w:val="000000" w:themeColor="text1"/>
        </w:rPr>
        <w:t xml:space="preserve">Национална програма за обновяване на жилищните сгради в Република България), </w:t>
      </w:r>
      <w:r w:rsidRPr="00D7773B">
        <w:rPr>
          <w:color w:val="000000" w:themeColor="text1"/>
        </w:rPr>
        <w:t xml:space="preserve">20 January 2005, </w:t>
      </w:r>
      <w:hyperlink r:id="rId147" w:history="1">
        <w:r w:rsidRPr="00D7773B">
          <w:rPr>
            <w:rStyle w:val="Hyperlink"/>
          </w:rPr>
          <w:t>https://www.strategy.bg/StrategicDocuments/View.aspx?lang=bg-BG&amp;Id=432</w:t>
        </w:r>
      </w:hyperlink>
    </w:p>
  </w:footnote>
  <w:footnote w:id="153">
    <w:p w14:paraId="1C5EA37A" w14:textId="0B5B9957" w:rsidR="00CD7B2E" w:rsidRPr="00D7773B" w:rsidRDefault="00CD7B2E" w:rsidP="0077131A">
      <w:pPr>
        <w:pStyle w:val="FootnoteText"/>
        <w:rPr>
          <w:color w:val="000000" w:themeColor="text1"/>
        </w:rPr>
      </w:pPr>
      <w:r w:rsidRPr="00D7773B">
        <w:rPr>
          <w:rStyle w:val="FootnoteReference"/>
        </w:rPr>
        <w:footnoteRef/>
      </w:r>
      <w:r w:rsidRPr="00D7773B">
        <w:t xml:space="preserve"> Bulgaria, Council of Ministers of the Republic of Bulgaria </w:t>
      </w:r>
      <w:r w:rsidRPr="00D7773B">
        <w:rPr>
          <w:i/>
          <w:iCs/>
        </w:rPr>
        <w:t>(</w:t>
      </w:r>
      <w:r w:rsidRPr="00D7773B">
        <w:rPr>
          <w:i/>
          <w:iCs/>
          <w:lang w:val="bg-BG"/>
        </w:rPr>
        <w:t>Министерски съвет на Република България</w:t>
      </w:r>
      <w:r w:rsidRPr="00D7773B">
        <w:rPr>
          <w:i/>
          <w:iCs/>
        </w:rPr>
        <w:t>)</w:t>
      </w:r>
      <w:r w:rsidRPr="00D7773B">
        <w:rPr>
          <w:lang w:val="bg-BG"/>
        </w:rPr>
        <w:t xml:space="preserve"> </w:t>
      </w:r>
      <w:r w:rsidRPr="00D7773B">
        <w:rPr>
          <w:bCs/>
        </w:rPr>
        <w:t xml:space="preserve">(2013), </w:t>
      </w:r>
      <w:r w:rsidRPr="00D7773B">
        <w:t xml:space="preserve">National strategy for reducing poverty and promoting social inclusion 2020, 6 February 2013, </w:t>
      </w:r>
      <w:hyperlink r:id="rId148" w:history="1">
        <w:r w:rsidRPr="00D7773B">
          <w:rPr>
            <w:rStyle w:val="Hyperlink"/>
          </w:rPr>
          <w:t>https://www.strategy.bg/StrategicDocuments/View.aspx?lang=bg-BG&amp;Id=790</w:t>
        </w:r>
      </w:hyperlink>
    </w:p>
  </w:footnote>
  <w:footnote w:id="154">
    <w:p w14:paraId="00FF89D9" w14:textId="4C5CEA2C" w:rsidR="00CD7B2E" w:rsidRPr="00D7773B" w:rsidRDefault="00CD7B2E" w:rsidP="0077131A">
      <w:r w:rsidRPr="00D7773B">
        <w:rPr>
          <w:rStyle w:val="FootnoteReference"/>
          <w:sz w:val="20"/>
          <w:szCs w:val="20"/>
        </w:rPr>
        <w:footnoteRef/>
      </w:r>
      <w:r w:rsidRPr="00D7773B">
        <w:rPr>
          <w:sz w:val="20"/>
          <w:szCs w:val="20"/>
        </w:rPr>
        <w:t xml:space="preserve"> Bulgaria, Ministry of Regional development and Public works</w:t>
      </w:r>
      <w:r>
        <w:rPr>
          <w:sz w:val="20"/>
          <w:szCs w:val="20"/>
        </w:rPr>
        <w:t xml:space="preserve"> </w:t>
      </w:r>
      <w:r w:rsidRPr="004E4FA5">
        <w:rPr>
          <w:i/>
          <w:iCs/>
          <w:sz w:val="20"/>
          <w:szCs w:val="20"/>
        </w:rPr>
        <w:t>(</w:t>
      </w:r>
      <w:r w:rsidRPr="004E4FA5">
        <w:rPr>
          <w:i/>
          <w:iCs/>
          <w:sz w:val="20"/>
          <w:szCs w:val="20"/>
          <w:lang w:val="bg-BG"/>
        </w:rPr>
        <w:t>Министерство на регионалното развитие и благоустройството</w:t>
      </w:r>
      <w:r w:rsidRPr="004E4FA5">
        <w:rPr>
          <w:i/>
          <w:iCs/>
          <w:sz w:val="20"/>
          <w:szCs w:val="20"/>
        </w:rPr>
        <w:t>)</w:t>
      </w:r>
      <w:r w:rsidRPr="00D7773B">
        <w:rPr>
          <w:sz w:val="20"/>
          <w:szCs w:val="20"/>
        </w:rPr>
        <w:t>, Operational Programme "Regions in growth" 2014-2020 (</w:t>
      </w:r>
      <w:r w:rsidRPr="00D7773B">
        <w:rPr>
          <w:i/>
          <w:sz w:val="20"/>
          <w:szCs w:val="20"/>
        </w:rPr>
        <w:t>Оперативна Програма "Региони в Растеж" 2014-2020)</w:t>
      </w:r>
      <w:r w:rsidRPr="00D7773B">
        <w:rPr>
          <w:sz w:val="20"/>
          <w:szCs w:val="20"/>
        </w:rPr>
        <w:t xml:space="preserve">, </w:t>
      </w:r>
      <w:hyperlink r:id="rId149" w:history="1">
        <w:r w:rsidRPr="00D7773B">
          <w:rPr>
            <w:rStyle w:val="Hyperlink"/>
            <w:sz w:val="20"/>
            <w:szCs w:val="20"/>
          </w:rPr>
          <w:t>http://bgregio.eu/media/files/Kandidatstvane/Aktualni%20sxemi/2014-2020/%D0%BE%D1%81%201/160418%20Nasoki%20os%201%20rev%202_FINAL.pdf</w:t>
        </w:r>
      </w:hyperlink>
    </w:p>
  </w:footnote>
  <w:footnote w:id="155">
    <w:p w14:paraId="0189D95F" w14:textId="18530E98" w:rsidR="00CD7B2E" w:rsidRPr="006D3D8E" w:rsidRDefault="00CD7B2E" w:rsidP="0077131A">
      <w:pPr>
        <w:pStyle w:val="FootnoteText"/>
      </w:pPr>
      <w:r>
        <w:rPr>
          <w:rStyle w:val="FootnoteReference"/>
        </w:rPr>
        <w:footnoteRef/>
      </w:r>
      <w:r>
        <w:t xml:space="preserve"> See more at </w:t>
      </w:r>
      <w:hyperlink r:id="rId150" w:history="1">
        <w:r>
          <w:rPr>
            <w:rStyle w:val="Hyperlink"/>
          </w:rPr>
          <w:t>http://www.bgregio.eu/media/files/Programirane%20i%20ocenca/%D0%9E%D0%9F%D0%A0%D0%A0%202014-2020%20C%282015%294138.pdf</w:t>
        </w:r>
      </w:hyperlink>
      <w:r>
        <w:t xml:space="preserve"> </w:t>
      </w:r>
    </w:p>
  </w:footnote>
  <w:footnote w:id="156">
    <w:p w14:paraId="13BC7F16" w14:textId="3C2877D1" w:rsidR="00CD7B2E" w:rsidRPr="00D7773B" w:rsidRDefault="00CD7B2E" w:rsidP="0077131A">
      <w:pPr>
        <w:pStyle w:val="FootnoteText"/>
      </w:pPr>
      <w:r w:rsidRPr="00D7773B">
        <w:rPr>
          <w:rStyle w:val="FootnoteReference"/>
        </w:rPr>
        <w:footnoteRef/>
      </w:r>
      <w:r w:rsidRPr="00D7773B">
        <w:t xml:space="preserve"> Bulgaria, Council of Ministers of the Republic of Bulgaria </w:t>
      </w:r>
      <w:r w:rsidRPr="00D7773B">
        <w:rPr>
          <w:i/>
        </w:rPr>
        <w:t>(</w:t>
      </w:r>
      <w:r w:rsidRPr="00D7773B">
        <w:rPr>
          <w:i/>
          <w:lang w:val="bg-BG"/>
        </w:rPr>
        <w:t>Министерски съвет на Република България</w:t>
      </w:r>
      <w:r w:rsidRPr="00D7773B">
        <w:rPr>
          <w:i/>
        </w:rPr>
        <w:t>)</w:t>
      </w:r>
      <w:r w:rsidRPr="00D7773B">
        <w:rPr>
          <w:i/>
          <w:lang w:val="bg-BG"/>
        </w:rPr>
        <w:t xml:space="preserve"> </w:t>
      </w:r>
      <w:r w:rsidRPr="00D7773B">
        <w:t>(201</w:t>
      </w:r>
      <w:r w:rsidRPr="00D7773B">
        <w:rPr>
          <w:lang w:val="bg-BG"/>
        </w:rPr>
        <w:t>5</w:t>
      </w:r>
      <w:r w:rsidRPr="00D7773B">
        <w:t>)</w:t>
      </w:r>
      <w:r w:rsidRPr="00D7773B">
        <w:rPr>
          <w:lang w:val="bg-BG"/>
        </w:rPr>
        <w:t xml:space="preserve">, </w:t>
      </w:r>
      <w:r w:rsidRPr="00D7773B">
        <w:t xml:space="preserve">National Strategy on Migration, Asylum and Integration 2015-2020 </w:t>
      </w:r>
      <w:r w:rsidRPr="00D7773B">
        <w:rPr>
          <w:i/>
        </w:rPr>
        <w:t>(Национална стратегия в областта на миграцията, убежището и интеграцията 2015-2020 г.)</w:t>
      </w:r>
      <w:r w:rsidRPr="00D7773B">
        <w:rPr>
          <w:lang w:val="bg-BG"/>
        </w:rPr>
        <w:t xml:space="preserve">, 12 </w:t>
      </w:r>
      <w:r w:rsidRPr="00D7773B">
        <w:t xml:space="preserve">June 2015, </w:t>
      </w:r>
      <w:hyperlink r:id="rId151" w:history="1">
        <w:r w:rsidRPr="00D7773B">
          <w:rPr>
            <w:rStyle w:val="Hyperlink"/>
          </w:rPr>
          <w:t>https://www.strategy.bg/StrategicDocuments/View.aspx?lang=bg-BG&amp;Id=963</w:t>
        </w:r>
      </w:hyperlink>
      <w:r w:rsidRPr="00D7773B">
        <w:t xml:space="preserve"> </w:t>
      </w:r>
    </w:p>
  </w:footnote>
  <w:footnote w:id="157">
    <w:p w14:paraId="2ECB78AD" w14:textId="41AFAB81" w:rsidR="00CD7B2E" w:rsidRPr="00D7773B" w:rsidRDefault="00CD7B2E" w:rsidP="0077131A">
      <w:pPr>
        <w:pStyle w:val="FootnoteText"/>
      </w:pPr>
      <w:r w:rsidRPr="00D7773B">
        <w:rPr>
          <w:rStyle w:val="FootnoteReference"/>
        </w:rPr>
        <w:footnoteRef/>
      </w:r>
      <w:r w:rsidRPr="00D7773B">
        <w:t xml:space="preserve"> Bulgaria, Council of Ministers of the Republic of Bulgaria </w:t>
      </w:r>
      <w:r w:rsidRPr="00D7773B">
        <w:rPr>
          <w:i/>
        </w:rPr>
        <w:t>(</w:t>
      </w:r>
      <w:r w:rsidRPr="00D7773B">
        <w:rPr>
          <w:i/>
          <w:lang w:val="bg-BG"/>
        </w:rPr>
        <w:t>Министерски съвет на Република България</w:t>
      </w:r>
      <w:r w:rsidRPr="00D7773B">
        <w:rPr>
          <w:i/>
        </w:rPr>
        <w:t>)</w:t>
      </w:r>
      <w:r w:rsidRPr="00D7773B">
        <w:t xml:space="preserve">(2016) National Mechanism for Referral and Support of Victims of Trafficking </w:t>
      </w:r>
      <w:r w:rsidRPr="00D7773B">
        <w:rPr>
          <w:i/>
        </w:rPr>
        <w:t>(Национален механизъм за насочване и подпомагане на жертви на трафик)</w:t>
      </w:r>
      <w:r w:rsidRPr="00D7773B">
        <w:t xml:space="preserve">, 20 July 2016, </w:t>
      </w:r>
      <w:hyperlink r:id="rId152" w:anchor="national_mechanism" w:history="1">
        <w:r w:rsidRPr="00D7773B">
          <w:rPr>
            <w:rStyle w:val="Hyperlink"/>
          </w:rPr>
          <w:t>https://antitraffic.government.bg/bg/help#national_mechanism</w:t>
        </w:r>
      </w:hyperlink>
      <w:r w:rsidRPr="00D7773B">
        <w:t xml:space="preserve"> </w:t>
      </w:r>
    </w:p>
  </w:footnote>
  <w:footnote w:id="158">
    <w:p w14:paraId="61B77B1F" w14:textId="725E2A0D" w:rsidR="00CD7B2E" w:rsidRPr="00D7773B" w:rsidRDefault="00CD7B2E" w:rsidP="0077131A">
      <w:pPr>
        <w:pStyle w:val="FootnoteText"/>
      </w:pPr>
      <w:r w:rsidRPr="00D7773B">
        <w:rPr>
          <w:rStyle w:val="FootnoteReference"/>
        </w:rPr>
        <w:footnoteRef/>
      </w:r>
      <w:r w:rsidRPr="00D7773B">
        <w:t xml:space="preserve"> Bulgaria, Council of Ministers of the Republic of Bulgaria </w:t>
      </w:r>
      <w:r w:rsidRPr="00D7773B">
        <w:rPr>
          <w:i/>
        </w:rPr>
        <w:t>(</w:t>
      </w:r>
      <w:r w:rsidRPr="00D7773B">
        <w:rPr>
          <w:i/>
          <w:lang w:val="bg-BG"/>
        </w:rPr>
        <w:t>Министерски съвет на Република България</w:t>
      </w:r>
      <w:r w:rsidRPr="00D7773B">
        <w:rPr>
          <w:i/>
        </w:rPr>
        <w:t xml:space="preserve">) </w:t>
      </w:r>
      <w:r w:rsidRPr="00D7773B">
        <w:t>(2017)</w:t>
      </w:r>
      <w:r w:rsidRPr="00D7773B">
        <w:rPr>
          <w:i/>
        </w:rPr>
        <w:t xml:space="preserve">, </w:t>
      </w:r>
      <w:r w:rsidRPr="00D7773B">
        <w:t xml:space="preserve">National Strategy for Combatting Trafficking in Human Beings 2017-2021 </w:t>
      </w:r>
      <w:r w:rsidRPr="00D7773B">
        <w:rPr>
          <w:i/>
        </w:rPr>
        <w:t>(</w:t>
      </w:r>
      <w:r w:rsidRPr="00D7773B">
        <w:rPr>
          <w:i/>
          <w:lang w:val="bg-BG"/>
        </w:rPr>
        <w:t>Национална стратегия за борба с трафика на хора 2017-2021</w:t>
      </w:r>
      <w:r w:rsidRPr="00D7773B">
        <w:rPr>
          <w:i/>
        </w:rPr>
        <w:t xml:space="preserve">), </w:t>
      </w:r>
      <w:r w:rsidRPr="00D7773B">
        <w:rPr>
          <w:lang w:val="bg-BG"/>
        </w:rPr>
        <w:t xml:space="preserve">21 </w:t>
      </w:r>
      <w:r w:rsidRPr="00D7773B">
        <w:t xml:space="preserve">July 2017, </w:t>
      </w:r>
      <w:hyperlink r:id="rId153" w:history="1">
        <w:r w:rsidRPr="00D7773B">
          <w:rPr>
            <w:rStyle w:val="Hyperlink"/>
          </w:rPr>
          <w:t>https://www.strategy.bg/StrategicDocuments/View.aspx?lang=bg-BG&amp;Id=1237</w:t>
        </w:r>
      </w:hyperlink>
      <w:r w:rsidRPr="00D7773B">
        <w:t xml:space="preserve"> </w:t>
      </w:r>
    </w:p>
  </w:footnote>
  <w:footnote w:id="159">
    <w:p w14:paraId="0E430EF2" w14:textId="1E730AB4" w:rsidR="00CD7B2E" w:rsidRPr="00DC37DB" w:rsidRDefault="00CD7B2E" w:rsidP="0077131A">
      <w:pPr>
        <w:pStyle w:val="FootnoteText"/>
        <w:rPr>
          <w:lang w:val="bg-BG"/>
        </w:rPr>
      </w:pPr>
      <w:r>
        <w:rPr>
          <w:rStyle w:val="FootnoteReference"/>
        </w:rPr>
        <w:footnoteRef/>
      </w:r>
      <w:r>
        <w:rPr>
          <w:lang w:val="bg-BG"/>
        </w:rPr>
        <w:t xml:space="preserve"> </w:t>
      </w:r>
      <w:r>
        <w:t xml:space="preserve">Please see more at  </w:t>
      </w:r>
      <w:hyperlink r:id="rId154" w:history="1">
        <w:r>
          <w:rPr>
            <w:rStyle w:val="Hyperlink"/>
          </w:rPr>
          <w:t>https://www.mvr.bg/dmp/%D0%B4%D0%B5%D0%B9%D0%BD%D0%BE%D1%81%D1%82%D0%B8/%D1%84%D0%BE%D0%BD%D0%B4%D0%BE%D0%B2%D0%B5/%D1%84%D0%BE%D0%BD%D0%B4-%D1%83%D0%B1%D0%B5%D0%B6%D0%B8%D1%89%D0%B5-%D0%BC%D0%B8%D0%B3%D1%80%D0%B0%D1%86%D0%B8%D1%8F-%D0%B8-%D0%B8%D0%BD%D1%82%D0%B5%D0%B3%D1%80%D0%B0%D1%86%D0%B8%D1%8F-2014-2020</w:t>
        </w:r>
      </w:hyperlink>
    </w:p>
  </w:footnote>
  <w:footnote w:id="160">
    <w:p w14:paraId="565AA0AB" w14:textId="77777777" w:rsidR="00CD7B2E" w:rsidRPr="008E576F" w:rsidRDefault="00CD7B2E" w:rsidP="0077131A">
      <w:pPr>
        <w:pStyle w:val="FootnoteText"/>
        <w:rPr>
          <w:lang w:val="bg-BG"/>
        </w:rPr>
      </w:pPr>
      <w:r w:rsidRPr="00D7773B">
        <w:rPr>
          <w:rStyle w:val="FootnoteReference"/>
        </w:rPr>
        <w:footnoteRef/>
      </w:r>
      <w:r w:rsidRPr="008E576F">
        <w:rPr>
          <w:lang w:val="bg-BG"/>
        </w:rPr>
        <w:t xml:space="preserve"> </w:t>
      </w:r>
      <w:r w:rsidRPr="00D7773B">
        <w:t>Bulgaria</w:t>
      </w:r>
      <w:r w:rsidRPr="008E576F">
        <w:rPr>
          <w:lang w:val="bg-BG"/>
        </w:rPr>
        <w:t xml:space="preserve">, </w:t>
      </w:r>
      <w:r w:rsidRPr="00D7773B">
        <w:t>Council</w:t>
      </w:r>
      <w:r w:rsidRPr="008E576F">
        <w:rPr>
          <w:lang w:val="bg-BG"/>
        </w:rPr>
        <w:t xml:space="preserve"> </w:t>
      </w:r>
      <w:r w:rsidRPr="00D7773B">
        <w:t>of</w:t>
      </w:r>
      <w:r w:rsidRPr="008E576F">
        <w:rPr>
          <w:lang w:val="bg-BG"/>
        </w:rPr>
        <w:t xml:space="preserve"> </w:t>
      </w:r>
      <w:r w:rsidRPr="00D7773B">
        <w:t>Ministers</w:t>
      </w:r>
      <w:r w:rsidRPr="008E576F">
        <w:rPr>
          <w:lang w:val="bg-BG"/>
        </w:rPr>
        <w:t xml:space="preserve"> </w:t>
      </w:r>
      <w:r w:rsidRPr="00D7773B">
        <w:t>of</w:t>
      </w:r>
      <w:r w:rsidRPr="008E576F">
        <w:rPr>
          <w:lang w:val="bg-BG"/>
        </w:rPr>
        <w:t xml:space="preserve"> </w:t>
      </w:r>
      <w:r w:rsidRPr="00D7773B">
        <w:t>the</w:t>
      </w:r>
      <w:r w:rsidRPr="008E576F">
        <w:rPr>
          <w:lang w:val="bg-BG"/>
        </w:rPr>
        <w:t xml:space="preserve"> </w:t>
      </w:r>
      <w:r w:rsidRPr="00D7773B">
        <w:t>Republic</w:t>
      </w:r>
      <w:r w:rsidRPr="008E576F">
        <w:rPr>
          <w:lang w:val="bg-BG"/>
        </w:rPr>
        <w:t xml:space="preserve"> </w:t>
      </w:r>
      <w:r w:rsidRPr="00D7773B">
        <w:t>of</w:t>
      </w:r>
      <w:r w:rsidRPr="008E576F">
        <w:rPr>
          <w:lang w:val="bg-BG"/>
        </w:rPr>
        <w:t xml:space="preserve"> </w:t>
      </w:r>
      <w:r w:rsidRPr="00D7773B">
        <w:t>Bulgaria</w:t>
      </w:r>
      <w:r w:rsidRPr="008E576F">
        <w:rPr>
          <w:lang w:val="bg-BG"/>
        </w:rPr>
        <w:t xml:space="preserve"> </w:t>
      </w:r>
      <w:r w:rsidRPr="008E576F">
        <w:rPr>
          <w:i/>
          <w:lang w:val="bg-BG"/>
        </w:rPr>
        <w:t>(</w:t>
      </w:r>
      <w:r w:rsidRPr="00D7773B">
        <w:rPr>
          <w:i/>
          <w:lang w:val="bg-BG"/>
        </w:rPr>
        <w:t>Министерски съвет на Република България</w:t>
      </w:r>
      <w:r w:rsidRPr="008E576F">
        <w:rPr>
          <w:i/>
          <w:lang w:val="bg-BG"/>
        </w:rPr>
        <w:t>)</w:t>
      </w:r>
      <w:r w:rsidRPr="00D7773B">
        <w:rPr>
          <w:i/>
          <w:lang w:val="bg-BG"/>
        </w:rPr>
        <w:t xml:space="preserve"> </w:t>
      </w:r>
      <w:r w:rsidRPr="008E576F">
        <w:rPr>
          <w:lang w:val="bg-BG"/>
        </w:rPr>
        <w:t>(201</w:t>
      </w:r>
      <w:r w:rsidRPr="00D7773B">
        <w:rPr>
          <w:lang w:val="bg-BG"/>
        </w:rPr>
        <w:t>5</w:t>
      </w:r>
      <w:r w:rsidRPr="008E576F">
        <w:rPr>
          <w:lang w:val="bg-BG"/>
        </w:rPr>
        <w:t>)</w:t>
      </w:r>
      <w:r w:rsidRPr="00D7773B">
        <w:rPr>
          <w:lang w:val="bg-BG"/>
        </w:rPr>
        <w:t xml:space="preserve">, </w:t>
      </w:r>
      <w:r w:rsidRPr="00D7773B">
        <w:t>National</w:t>
      </w:r>
      <w:r w:rsidRPr="008E576F">
        <w:rPr>
          <w:lang w:val="bg-BG"/>
        </w:rPr>
        <w:t xml:space="preserve"> </w:t>
      </w:r>
      <w:r w:rsidRPr="00D7773B">
        <w:t>Strategy</w:t>
      </w:r>
      <w:r w:rsidRPr="008E576F">
        <w:rPr>
          <w:lang w:val="bg-BG"/>
        </w:rPr>
        <w:t xml:space="preserve"> </w:t>
      </w:r>
      <w:r w:rsidRPr="00D7773B">
        <w:t>on</w:t>
      </w:r>
      <w:r w:rsidRPr="008E576F">
        <w:rPr>
          <w:lang w:val="bg-BG"/>
        </w:rPr>
        <w:t xml:space="preserve"> </w:t>
      </w:r>
      <w:r w:rsidRPr="00D7773B">
        <w:t>Migration</w:t>
      </w:r>
      <w:r w:rsidRPr="008E576F">
        <w:rPr>
          <w:lang w:val="bg-BG"/>
        </w:rPr>
        <w:t xml:space="preserve">, </w:t>
      </w:r>
      <w:r w:rsidRPr="00D7773B">
        <w:t>Asylum</w:t>
      </w:r>
      <w:r w:rsidRPr="008E576F">
        <w:rPr>
          <w:lang w:val="bg-BG"/>
        </w:rPr>
        <w:t xml:space="preserve"> </w:t>
      </w:r>
      <w:r w:rsidRPr="00D7773B">
        <w:t>and</w:t>
      </w:r>
      <w:r w:rsidRPr="008E576F">
        <w:rPr>
          <w:lang w:val="bg-BG"/>
        </w:rPr>
        <w:t xml:space="preserve"> </w:t>
      </w:r>
      <w:r w:rsidRPr="00D7773B">
        <w:t>Integration</w:t>
      </w:r>
      <w:r w:rsidRPr="008E576F">
        <w:rPr>
          <w:lang w:val="bg-BG"/>
        </w:rPr>
        <w:t xml:space="preserve"> 2015-2020 </w:t>
      </w:r>
      <w:r w:rsidRPr="008E576F">
        <w:rPr>
          <w:i/>
          <w:lang w:val="bg-BG"/>
        </w:rPr>
        <w:t>(Национална стратегия в областта на миграцията, убежището и интеграцията 2015-2020 г.)</w:t>
      </w:r>
      <w:r w:rsidRPr="00D7773B">
        <w:rPr>
          <w:lang w:val="bg-BG"/>
        </w:rPr>
        <w:t xml:space="preserve">, 12 </w:t>
      </w:r>
      <w:r w:rsidRPr="00D7773B">
        <w:t>June</w:t>
      </w:r>
      <w:r w:rsidRPr="008E576F">
        <w:rPr>
          <w:lang w:val="bg-BG"/>
        </w:rPr>
        <w:t xml:space="preserve"> 2015, </w:t>
      </w:r>
      <w:hyperlink r:id="rId155" w:history="1">
        <w:r w:rsidRPr="00D7773B">
          <w:rPr>
            <w:rStyle w:val="Hyperlink"/>
          </w:rPr>
          <w:t>https</w:t>
        </w:r>
        <w:r w:rsidRPr="008E576F">
          <w:rPr>
            <w:rStyle w:val="Hyperlink"/>
            <w:lang w:val="bg-BG"/>
          </w:rPr>
          <w:t>://</w:t>
        </w:r>
        <w:r w:rsidRPr="00D7773B">
          <w:rPr>
            <w:rStyle w:val="Hyperlink"/>
          </w:rPr>
          <w:t>www</w:t>
        </w:r>
        <w:r w:rsidRPr="008E576F">
          <w:rPr>
            <w:rStyle w:val="Hyperlink"/>
            <w:lang w:val="bg-BG"/>
          </w:rPr>
          <w:t>.</w:t>
        </w:r>
        <w:r w:rsidRPr="00D7773B">
          <w:rPr>
            <w:rStyle w:val="Hyperlink"/>
          </w:rPr>
          <w:t>strategy</w:t>
        </w:r>
        <w:r w:rsidRPr="008E576F">
          <w:rPr>
            <w:rStyle w:val="Hyperlink"/>
            <w:lang w:val="bg-BG"/>
          </w:rPr>
          <w:t>.</w:t>
        </w:r>
        <w:r w:rsidRPr="00D7773B">
          <w:rPr>
            <w:rStyle w:val="Hyperlink"/>
          </w:rPr>
          <w:t>bg</w:t>
        </w:r>
        <w:r w:rsidRPr="008E576F">
          <w:rPr>
            <w:rStyle w:val="Hyperlink"/>
            <w:lang w:val="bg-BG"/>
          </w:rPr>
          <w:t>/</w:t>
        </w:r>
        <w:r w:rsidRPr="00D7773B">
          <w:rPr>
            <w:rStyle w:val="Hyperlink"/>
          </w:rPr>
          <w:t>StrategicDocuments</w:t>
        </w:r>
        <w:r w:rsidRPr="008E576F">
          <w:rPr>
            <w:rStyle w:val="Hyperlink"/>
            <w:lang w:val="bg-BG"/>
          </w:rPr>
          <w:t>/</w:t>
        </w:r>
        <w:r w:rsidRPr="00D7773B">
          <w:rPr>
            <w:rStyle w:val="Hyperlink"/>
          </w:rPr>
          <w:t>View</w:t>
        </w:r>
        <w:r w:rsidRPr="008E576F">
          <w:rPr>
            <w:rStyle w:val="Hyperlink"/>
            <w:lang w:val="bg-BG"/>
          </w:rPr>
          <w:t>.</w:t>
        </w:r>
        <w:r w:rsidRPr="00D7773B">
          <w:rPr>
            <w:rStyle w:val="Hyperlink"/>
          </w:rPr>
          <w:t>aspx</w:t>
        </w:r>
        <w:r w:rsidRPr="008E576F">
          <w:rPr>
            <w:rStyle w:val="Hyperlink"/>
            <w:lang w:val="bg-BG"/>
          </w:rPr>
          <w:t>?</w:t>
        </w:r>
        <w:r w:rsidRPr="00D7773B">
          <w:rPr>
            <w:rStyle w:val="Hyperlink"/>
          </w:rPr>
          <w:t>lang</w:t>
        </w:r>
        <w:r w:rsidRPr="008E576F">
          <w:rPr>
            <w:rStyle w:val="Hyperlink"/>
            <w:lang w:val="bg-BG"/>
          </w:rPr>
          <w:t>=</w:t>
        </w:r>
        <w:r w:rsidRPr="00D7773B">
          <w:rPr>
            <w:rStyle w:val="Hyperlink"/>
          </w:rPr>
          <w:t>bg</w:t>
        </w:r>
        <w:r w:rsidRPr="008E576F">
          <w:rPr>
            <w:rStyle w:val="Hyperlink"/>
            <w:lang w:val="bg-BG"/>
          </w:rPr>
          <w:t>-</w:t>
        </w:r>
        <w:r w:rsidRPr="00D7773B">
          <w:rPr>
            <w:rStyle w:val="Hyperlink"/>
          </w:rPr>
          <w:t>BG</w:t>
        </w:r>
        <w:r w:rsidRPr="008E576F">
          <w:rPr>
            <w:rStyle w:val="Hyperlink"/>
            <w:lang w:val="bg-BG"/>
          </w:rPr>
          <w:t>&amp;</w:t>
        </w:r>
        <w:r w:rsidRPr="00D7773B">
          <w:rPr>
            <w:rStyle w:val="Hyperlink"/>
          </w:rPr>
          <w:t>Id</w:t>
        </w:r>
        <w:r w:rsidRPr="008E576F">
          <w:rPr>
            <w:rStyle w:val="Hyperlink"/>
            <w:lang w:val="bg-BG"/>
          </w:rPr>
          <w:t>=963</w:t>
        </w:r>
      </w:hyperlink>
      <w:r w:rsidRPr="008E576F">
        <w:rPr>
          <w:lang w:val="bg-BG"/>
        </w:rPr>
        <w:t xml:space="preserve"> </w:t>
      </w:r>
    </w:p>
  </w:footnote>
  <w:footnote w:id="161">
    <w:p w14:paraId="4485A95D" w14:textId="3CD11597" w:rsidR="00CD7B2E" w:rsidRPr="008E576F" w:rsidRDefault="00CD7B2E" w:rsidP="0077131A">
      <w:pPr>
        <w:pStyle w:val="FootnoteText"/>
        <w:rPr>
          <w:lang w:val="bg-BG"/>
        </w:rPr>
      </w:pPr>
      <w:r w:rsidRPr="00D7773B">
        <w:rPr>
          <w:rStyle w:val="FootnoteReference"/>
        </w:rPr>
        <w:footnoteRef/>
      </w:r>
      <w:r w:rsidRPr="008E576F">
        <w:rPr>
          <w:lang w:val="bg-BG"/>
        </w:rPr>
        <w:t xml:space="preserve"> </w:t>
      </w:r>
      <w:r w:rsidRPr="00D7773B">
        <w:t>Bulgaria</w:t>
      </w:r>
      <w:r w:rsidRPr="008E576F">
        <w:rPr>
          <w:lang w:val="bg-BG"/>
        </w:rPr>
        <w:t xml:space="preserve">, </w:t>
      </w:r>
      <w:r w:rsidRPr="00D7773B">
        <w:t>National</w:t>
      </w:r>
      <w:r w:rsidRPr="008E576F">
        <w:rPr>
          <w:lang w:val="bg-BG"/>
        </w:rPr>
        <w:t xml:space="preserve"> </w:t>
      </w:r>
      <w:r w:rsidRPr="00D7773B">
        <w:t>Assembly</w:t>
      </w:r>
      <w:r w:rsidRPr="008E576F">
        <w:rPr>
          <w:lang w:val="bg-BG"/>
        </w:rPr>
        <w:t xml:space="preserve"> </w:t>
      </w:r>
      <w:r w:rsidRPr="00D7773B">
        <w:t>of</w:t>
      </w:r>
      <w:r w:rsidRPr="008E576F">
        <w:rPr>
          <w:lang w:val="bg-BG"/>
        </w:rPr>
        <w:t xml:space="preserve"> </w:t>
      </w:r>
      <w:r w:rsidRPr="00D7773B">
        <w:t>the</w:t>
      </w:r>
      <w:r w:rsidRPr="008E576F">
        <w:rPr>
          <w:lang w:val="bg-BG"/>
        </w:rPr>
        <w:t xml:space="preserve"> </w:t>
      </w:r>
      <w:r w:rsidRPr="00D7773B">
        <w:t>Republic</w:t>
      </w:r>
      <w:r w:rsidRPr="008E576F">
        <w:rPr>
          <w:lang w:val="bg-BG"/>
        </w:rPr>
        <w:t xml:space="preserve"> </w:t>
      </w:r>
      <w:r w:rsidRPr="00D7773B">
        <w:t>of</w:t>
      </w:r>
      <w:r w:rsidRPr="008E576F">
        <w:rPr>
          <w:lang w:val="bg-BG"/>
        </w:rPr>
        <w:t xml:space="preserve"> </w:t>
      </w:r>
      <w:r w:rsidRPr="00D7773B">
        <w:t>Bulgaria</w:t>
      </w:r>
      <w:r w:rsidRPr="008E576F">
        <w:rPr>
          <w:lang w:val="bg-BG"/>
        </w:rPr>
        <w:t xml:space="preserve"> (</w:t>
      </w:r>
      <w:r w:rsidRPr="00D7773B">
        <w:rPr>
          <w:i/>
          <w:lang w:val="bg-BG"/>
        </w:rPr>
        <w:t>Народно събрание на Република България</w:t>
      </w:r>
      <w:r w:rsidRPr="00D7773B">
        <w:rPr>
          <w:lang w:val="bg-BG"/>
        </w:rPr>
        <w:t>)</w:t>
      </w:r>
      <w:r w:rsidRPr="008E576F">
        <w:rPr>
          <w:lang w:val="bg-BG"/>
        </w:rPr>
        <w:t xml:space="preserve"> (2008) </w:t>
      </w:r>
      <w:r w:rsidRPr="00D7773B">
        <w:t>National</w:t>
      </w:r>
      <w:r w:rsidRPr="008E576F">
        <w:rPr>
          <w:lang w:val="bg-BG"/>
        </w:rPr>
        <w:t xml:space="preserve"> </w:t>
      </w:r>
      <w:r w:rsidRPr="00D7773B">
        <w:t>Strategy</w:t>
      </w:r>
      <w:r w:rsidRPr="008E576F">
        <w:rPr>
          <w:lang w:val="bg-BG"/>
        </w:rPr>
        <w:t xml:space="preserve"> </w:t>
      </w:r>
      <w:r w:rsidRPr="00D7773B">
        <w:t>for</w:t>
      </w:r>
      <w:r w:rsidRPr="008E576F">
        <w:rPr>
          <w:lang w:val="bg-BG"/>
        </w:rPr>
        <w:t xml:space="preserve"> </w:t>
      </w:r>
      <w:r w:rsidRPr="00D7773B">
        <w:t>the</w:t>
      </w:r>
      <w:r w:rsidRPr="008E576F">
        <w:rPr>
          <w:lang w:val="bg-BG"/>
        </w:rPr>
        <w:t xml:space="preserve"> </w:t>
      </w:r>
      <w:r w:rsidRPr="00D7773B">
        <w:t>Child</w:t>
      </w:r>
      <w:r w:rsidRPr="00D7773B">
        <w:rPr>
          <w:lang w:val="bg-BG"/>
        </w:rPr>
        <w:t xml:space="preserve"> 2008-2018</w:t>
      </w:r>
      <w:r w:rsidRPr="008E576F">
        <w:rPr>
          <w:lang w:val="bg-BG"/>
        </w:rPr>
        <w:t xml:space="preserve"> (</w:t>
      </w:r>
      <w:r w:rsidRPr="00D7773B">
        <w:rPr>
          <w:i/>
          <w:lang w:val="bg-BG"/>
        </w:rPr>
        <w:t>Национална стратегия за детето</w:t>
      </w:r>
      <w:r w:rsidRPr="00D7773B">
        <w:rPr>
          <w:lang w:val="bg-BG"/>
        </w:rPr>
        <w:t xml:space="preserve"> </w:t>
      </w:r>
      <w:r w:rsidRPr="00D7773B">
        <w:rPr>
          <w:i/>
          <w:lang w:val="bg-BG"/>
        </w:rPr>
        <w:t>(2008-2018)</w:t>
      </w:r>
      <w:r w:rsidRPr="008E576F">
        <w:rPr>
          <w:lang w:val="bg-BG"/>
        </w:rPr>
        <w:t xml:space="preserve">), 31 </w:t>
      </w:r>
      <w:r w:rsidRPr="00D7773B">
        <w:t>January</w:t>
      </w:r>
      <w:r w:rsidRPr="008E576F">
        <w:rPr>
          <w:lang w:val="bg-BG"/>
        </w:rPr>
        <w:t xml:space="preserve"> 2008, </w:t>
      </w:r>
      <w:hyperlink r:id="rId156" w:history="1">
        <w:r w:rsidRPr="00D7773B">
          <w:rPr>
            <w:rStyle w:val="Hyperlink"/>
          </w:rPr>
          <w:t>http</w:t>
        </w:r>
        <w:r w:rsidRPr="008E576F">
          <w:rPr>
            <w:rStyle w:val="Hyperlink"/>
            <w:lang w:val="bg-BG"/>
          </w:rPr>
          <w:t>://</w:t>
        </w:r>
        <w:r w:rsidRPr="00D7773B">
          <w:rPr>
            <w:rStyle w:val="Hyperlink"/>
          </w:rPr>
          <w:t>www</w:t>
        </w:r>
        <w:r w:rsidRPr="008E576F">
          <w:rPr>
            <w:rStyle w:val="Hyperlink"/>
            <w:lang w:val="bg-BG"/>
          </w:rPr>
          <w:t>.</w:t>
        </w:r>
        <w:r w:rsidRPr="00D7773B">
          <w:rPr>
            <w:rStyle w:val="Hyperlink"/>
          </w:rPr>
          <w:t>strategy</w:t>
        </w:r>
        <w:r w:rsidRPr="008E576F">
          <w:rPr>
            <w:rStyle w:val="Hyperlink"/>
            <w:lang w:val="bg-BG"/>
          </w:rPr>
          <w:t>.</w:t>
        </w:r>
        <w:r w:rsidRPr="00D7773B">
          <w:rPr>
            <w:rStyle w:val="Hyperlink"/>
          </w:rPr>
          <w:t>bg</w:t>
        </w:r>
        <w:r w:rsidRPr="008E576F">
          <w:rPr>
            <w:rStyle w:val="Hyperlink"/>
            <w:lang w:val="bg-BG"/>
          </w:rPr>
          <w:t>/</w:t>
        </w:r>
        <w:r w:rsidRPr="00D7773B">
          <w:rPr>
            <w:rStyle w:val="Hyperlink"/>
          </w:rPr>
          <w:t>StrategicDocuments</w:t>
        </w:r>
        <w:r w:rsidRPr="008E576F">
          <w:rPr>
            <w:rStyle w:val="Hyperlink"/>
            <w:lang w:val="bg-BG"/>
          </w:rPr>
          <w:t>/</w:t>
        </w:r>
        <w:r w:rsidRPr="00D7773B">
          <w:rPr>
            <w:rStyle w:val="Hyperlink"/>
          </w:rPr>
          <w:t>View</w:t>
        </w:r>
        <w:r w:rsidRPr="008E576F">
          <w:rPr>
            <w:rStyle w:val="Hyperlink"/>
            <w:lang w:val="bg-BG"/>
          </w:rPr>
          <w:t>.</w:t>
        </w:r>
        <w:r w:rsidRPr="00D7773B">
          <w:rPr>
            <w:rStyle w:val="Hyperlink"/>
          </w:rPr>
          <w:t>aspx</w:t>
        </w:r>
        <w:r w:rsidRPr="008E576F">
          <w:rPr>
            <w:rStyle w:val="Hyperlink"/>
            <w:lang w:val="bg-BG"/>
          </w:rPr>
          <w:t>?</w:t>
        </w:r>
        <w:r w:rsidRPr="00D7773B">
          <w:rPr>
            <w:rStyle w:val="Hyperlink"/>
          </w:rPr>
          <w:t>Id</w:t>
        </w:r>
        <w:r w:rsidRPr="008E576F">
          <w:rPr>
            <w:rStyle w:val="Hyperlink"/>
            <w:lang w:val="bg-BG"/>
          </w:rPr>
          <w:t>=464</w:t>
        </w:r>
      </w:hyperlink>
    </w:p>
  </w:footnote>
  <w:footnote w:id="162">
    <w:p w14:paraId="276D4940" w14:textId="77777777" w:rsidR="00CD7B2E" w:rsidRPr="008E576F" w:rsidRDefault="00CD7B2E" w:rsidP="0077131A">
      <w:pPr>
        <w:pStyle w:val="FootnoteText"/>
        <w:rPr>
          <w:lang w:val="bg-BG"/>
        </w:rPr>
      </w:pPr>
      <w:r w:rsidRPr="00D7773B">
        <w:rPr>
          <w:rStyle w:val="FootnoteReference"/>
        </w:rPr>
        <w:footnoteRef/>
      </w:r>
      <w:r w:rsidRPr="008E576F">
        <w:rPr>
          <w:lang w:val="bg-BG"/>
        </w:rPr>
        <w:t xml:space="preserve"> </w:t>
      </w:r>
      <w:r w:rsidRPr="00D7773B">
        <w:t>Bulgaria</w:t>
      </w:r>
      <w:r w:rsidRPr="008E576F">
        <w:rPr>
          <w:lang w:val="bg-BG"/>
        </w:rPr>
        <w:t xml:space="preserve">, </w:t>
      </w:r>
      <w:r w:rsidRPr="00D7773B">
        <w:t>Draft</w:t>
      </w:r>
      <w:r w:rsidRPr="008E576F">
        <w:rPr>
          <w:lang w:val="bg-BG"/>
        </w:rPr>
        <w:t xml:space="preserve"> </w:t>
      </w:r>
      <w:r w:rsidRPr="00D7773B">
        <w:t>National</w:t>
      </w:r>
      <w:r w:rsidRPr="008E576F">
        <w:rPr>
          <w:lang w:val="bg-BG"/>
        </w:rPr>
        <w:t xml:space="preserve"> </w:t>
      </w:r>
      <w:r w:rsidRPr="00D7773B">
        <w:t>Strategy</w:t>
      </w:r>
      <w:r w:rsidRPr="008E576F">
        <w:rPr>
          <w:lang w:val="bg-BG"/>
        </w:rPr>
        <w:t xml:space="preserve"> </w:t>
      </w:r>
      <w:r w:rsidRPr="00D7773B">
        <w:t>for</w:t>
      </w:r>
      <w:r w:rsidRPr="008E576F">
        <w:rPr>
          <w:lang w:val="bg-BG"/>
        </w:rPr>
        <w:t xml:space="preserve"> </w:t>
      </w:r>
      <w:r w:rsidRPr="00D7773B">
        <w:t>the</w:t>
      </w:r>
      <w:r w:rsidRPr="008E576F">
        <w:rPr>
          <w:lang w:val="bg-BG"/>
        </w:rPr>
        <w:t xml:space="preserve"> </w:t>
      </w:r>
      <w:r w:rsidRPr="00D7773B">
        <w:t>Child</w:t>
      </w:r>
      <w:r w:rsidRPr="008E576F">
        <w:rPr>
          <w:lang w:val="bg-BG"/>
        </w:rPr>
        <w:t xml:space="preserve"> 2019-2030 </w:t>
      </w:r>
      <w:r w:rsidRPr="008E576F">
        <w:rPr>
          <w:i/>
          <w:lang w:val="bg-BG"/>
        </w:rPr>
        <w:t>(</w:t>
      </w:r>
      <w:r w:rsidRPr="00D7773B">
        <w:rPr>
          <w:i/>
          <w:lang w:val="bg-BG"/>
        </w:rPr>
        <w:t>Проект на Национална стратегия за детето 2019-2030</w:t>
      </w:r>
      <w:r w:rsidRPr="008E576F">
        <w:rPr>
          <w:i/>
          <w:lang w:val="bg-BG"/>
        </w:rPr>
        <w:t>)</w:t>
      </w:r>
      <w:r w:rsidRPr="00D7773B">
        <w:rPr>
          <w:lang w:val="bg-BG"/>
        </w:rPr>
        <w:t xml:space="preserve">, 10 </w:t>
      </w:r>
      <w:r w:rsidRPr="00D7773B">
        <w:t>January</w:t>
      </w:r>
      <w:r w:rsidRPr="008E576F">
        <w:rPr>
          <w:lang w:val="bg-BG"/>
        </w:rPr>
        <w:t xml:space="preserve"> 2019, </w:t>
      </w:r>
      <w:hyperlink r:id="rId157" w:history="1">
        <w:r w:rsidRPr="00D7773B">
          <w:rPr>
            <w:rStyle w:val="Hyperlink"/>
          </w:rPr>
          <w:t>https</w:t>
        </w:r>
        <w:r w:rsidRPr="008E576F">
          <w:rPr>
            <w:rStyle w:val="Hyperlink"/>
            <w:lang w:val="bg-BG"/>
          </w:rPr>
          <w:t>://</w:t>
        </w:r>
        <w:r w:rsidRPr="00D7773B">
          <w:rPr>
            <w:rStyle w:val="Hyperlink"/>
          </w:rPr>
          <w:t>www</w:t>
        </w:r>
        <w:r w:rsidRPr="008E576F">
          <w:rPr>
            <w:rStyle w:val="Hyperlink"/>
            <w:lang w:val="bg-BG"/>
          </w:rPr>
          <w:t>.</w:t>
        </w:r>
        <w:r w:rsidRPr="00D7773B">
          <w:rPr>
            <w:rStyle w:val="Hyperlink"/>
          </w:rPr>
          <w:t>strategy</w:t>
        </w:r>
        <w:r w:rsidRPr="008E576F">
          <w:rPr>
            <w:rStyle w:val="Hyperlink"/>
            <w:lang w:val="bg-BG"/>
          </w:rPr>
          <w:t>.</w:t>
        </w:r>
        <w:r w:rsidRPr="00D7773B">
          <w:rPr>
            <w:rStyle w:val="Hyperlink"/>
          </w:rPr>
          <w:t>bg</w:t>
        </w:r>
        <w:r w:rsidRPr="008E576F">
          <w:rPr>
            <w:rStyle w:val="Hyperlink"/>
            <w:lang w:val="bg-BG"/>
          </w:rPr>
          <w:t>/</w:t>
        </w:r>
        <w:r w:rsidRPr="00D7773B">
          <w:rPr>
            <w:rStyle w:val="Hyperlink"/>
          </w:rPr>
          <w:t>PublicConsultations</w:t>
        </w:r>
        <w:r w:rsidRPr="008E576F">
          <w:rPr>
            <w:rStyle w:val="Hyperlink"/>
            <w:lang w:val="bg-BG"/>
          </w:rPr>
          <w:t>/</w:t>
        </w:r>
        <w:r w:rsidRPr="00D7773B">
          <w:rPr>
            <w:rStyle w:val="Hyperlink"/>
          </w:rPr>
          <w:t>View</w:t>
        </w:r>
        <w:r w:rsidRPr="008E576F">
          <w:rPr>
            <w:rStyle w:val="Hyperlink"/>
            <w:lang w:val="bg-BG"/>
          </w:rPr>
          <w:t>.</w:t>
        </w:r>
        <w:r w:rsidRPr="00D7773B">
          <w:rPr>
            <w:rStyle w:val="Hyperlink"/>
          </w:rPr>
          <w:t>aspx</w:t>
        </w:r>
        <w:r w:rsidRPr="008E576F">
          <w:rPr>
            <w:rStyle w:val="Hyperlink"/>
            <w:lang w:val="bg-BG"/>
          </w:rPr>
          <w:t>?</w:t>
        </w:r>
        <w:r w:rsidRPr="00D7773B">
          <w:rPr>
            <w:rStyle w:val="Hyperlink"/>
          </w:rPr>
          <w:t>lang</w:t>
        </w:r>
        <w:r w:rsidRPr="008E576F">
          <w:rPr>
            <w:rStyle w:val="Hyperlink"/>
            <w:lang w:val="bg-BG"/>
          </w:rPr>
          <w:t>=</w:t>
        </w:r>
        <w:r w:rsidRPr="00D7773B">
          <w:rPr>
            <w:rStyle w:val="Hyperlink"/>
          </w:rPr>
          <w:t>bg</w:t>
        </w:r>
        <w:r w:rsidRPr="008E576F">
          <w:rPr>
            <w:rStyle w:val="Hyperlink"/>
            <w:lang w:val="bg-BG"/>
          </w:rPr>
          <w:t>-</w:t>
        </w:r>
        <w:r w:rsidRPr="00D7773B">
          <w:rPr>
            <w:rStyle w:val="Hyperlink"/>
          </w:rPr>
          <w:t>BG</w:t>
        </w:r>
        <w:r w:rsidRPr="008E576F">
          <w:rPr>
            <w:rStyle w:val="Hyperlink"/>
            <w:lang w:val="bg-BG"/>
          </w:rPr>
          <w:t>&amp;</w:t>
        </w:r>
        <w:r w:rsidRPr="00D7773B">
          <w:rPr>
            <w:rStyle w:val="Hyperlink"/>
          </w:rPr>
          <w:t>Id</w:t>
        </w:r>
        <w:r w:rsidRPr="008E576F">
          <w:rPr>
            <w:rStyle w:val="Hyperlink"/>
            <w:lang w:val="bg-BG"/>
          </w:rPr>
          <w:t>=4012</w:t>
        </w:r>
      </w:hyperlink>
      <w:r w:rsidRPr="008E576F">
        <w:rPr>
          <w:lang w:val="bg-BG"/>
        </w:rPr>
        <w:t xml:space="preserve"> </w:t>
      </w:r>
    </w:p>
  </w:footnote>
  <w:footnote w:id="163">
    <w:p w14:paraId="27B35119" w14:textId="4D5FE3C1" w:rsidR="00CD7B2E" w:rsidRPr="008E576F" w:rsidRDefault="00CD7B2E" w:rsidP="0077131A">
      <w:pPr>
        <w:pStyle w:val="FootnoteText"/>
        <w:rPr>
          <w:lang w:val="bg-BG"/>
        </w:rPr>
      </w:pPr>
      <w:r w:rsidRPr="00D7773B">
        <w:rPr>
          <w:rStyle w:val="FootnoteReference"/>
        </w:rPr>
        <w:footnoteRef/>
      </w:r>
      <w:r w:rsidRPr="008E576F">
        <w:rPr>
          <w:lang w:val="bg-BG"/>
        </w:rPr>
        <w:t xml:space="preserve"> </w:t>
      </w:r>
      <w:r w:rsidRPr="00D7773B">
        <w:t>Bulgaria</w:t>
      </w:r>
      <w:r w:rsidRPr="008E576F">
        <w:rPr>
          <w:lang w:val="bg-BG"/>
        </w:rPr>
        <w:t xml:space="preserve">, </w:t>
      </w:r>
      <w:r w:rsidRPr="00D7773B">
        <w:t>Council</w:t>
      </w:r>
      <w:r w:rsidRPr="008E576F">
        <w:rPr>
          <w:lang w:val="bg-BG"/>
        </w:rPr>
        <w:t xml:space="preserve"> </w:t>
      </w:r>
      <w:r w:rsidRPr="00D7773B">
        <w:t>of</w:t>
      </w:r>
      <w:r w:rsidRPr="008E576F">
        <w:rPr>
          <w:lang w:val="bg-BG"/>
        </w:rPr>
        <w:t xml:space="preserve"> </w:t>
      </w:r>
      <w:r w:rsidRPr="00D7773B">
        <w:t>Ministers</w:t>
      </w:r>
      <w:r w:rsidRPr="008E576F">
        <w:rPr>
          <w:lang w:val="bg-BG"/>
        </w:rPr>
        <w:t xml:space="preserve"> </w:t>
      </w:r>
      <w:r w:rsidRPr="00D7773B">
        <w:t>of</w:t>
      </w:r>
      <w:r w:rsidRPr="008E576F">
        <w:rPr>
          <w:lang w:val="bg-BG"/>
        </w:rPr>
        <w:t xml:space="preserve"> </w:t>
      </w:r>
      <w:r w:rsidRPr="00D7773B">
        <w:t>the</w:t>
      </w:r>
      <w:r w:rsidRPr="008E576F">
        <w:rPr>
          <w:lang w:val="bg-BG"/>
        </w:rPr>
        <w:t xml:space="preserve"> </w:t>
      </w:r>
      <w:r w:rsidRPr="00D7773B">
        <w:t>Republic</w:t>
      </w:r>
      <w:r w:rsidRPr="008E576F">
        <w:rPr>
          <w:lang w:val="bg-BG"/>
        </w:rPr>
        <w:t xml:space="preserve"> </w:t>
      </w:r>
      <w:r w:rsidRPr="00D7773B">
        <w:t>of</w:t>
      </w:r>
      <w:r w:rsidRPr="008E576F">
        <w:rPr>
          <w:lang w:val="bg-BG"/>
        </w:rPr>
        <w:t xml:space="preserve"> </w:t>
      </w:r>
      <w:r w:rsidRPr="00D7773B">
        <w:t>Bulgaria</w:t>
      </w:r>
      <w:r w:rsidRPr="008E576F">
        <w:rPr>
          <w:lang w:val="bg-BG"/>
        </w:rPr>
        <w:t xml:space="preserve"> </w:t>
      </w:r>
      <w:r w:rsidRPr="008E576F">
        <w:rPr>
          <w:i/>
          <w:lang w:val="bg-BG"/>
        </w:rPr>
        <w:t>(</w:t>
      </w:r>
      <w:r w:rsidRPr="00D7773B">
        <w:rPr>
          <w:i/>
          <w:lang w:val="bg-BG"/>
        </w:rPr>
        <w:t>Министерски съвет на Република България</w:t>
      </w:r>
      <w:r w:rsidRPr="008E576F">
        <w:rPr>
          <w:i/>
          <w:lang w:val="bg-BG"/>
        </w:rPr>
        <w:t>)</w:t>
      </w:r>
      <w:r w:rsidRPr="00D7773B">
        <w:rPr>
          <w:i/>
          <w:lang w:val="bg-BG"/>
        </w:rPr>
        <w:t xml:space="preserve"> </w:t>
      </w:r>
      <w:r w:rsidRPr="008E576F">
        <w:rPr>
          <w:lang w:val="bg-BG"/>
        </w:rPr>
        <w:t>(2019)</w:t>
      </w:r>
      <w:r w:rsidRPr="00D7773B">
        <w:rPr>
          <w:i/>
          <w:lang w:val="bg-BG"/>
        </w:rPr>
        <w:t xml:space="preserve"> </w:t>
      </w:r>
      <w:r w:rsidRPr="00D7773B">
        <w:t>National</w:t>
      </w:r>
      <w:r w:rsidRPr="008E576F">
        <w:rPr>
          <w:lang w:val="bg-BG"/>
        </w:rPr>
        <w:t xml:space="preserve"> </w:t>
      </w:r>
      <w:r w:rsidRPr="00D7773B">
        <w:t>Programme</w:t>
      </w:r>
      <w:r w:rsidRPr="008E576F">
        <w:rPr>
          <w:lang w:val="bg-BG"/>
        </w:rPr>
        <w:t xml:space="preserve"> </w:t>
      </w:r>
      <w:r w:rsidRPr="00D7773B">
        <w:t>for</w:t>
      </w:r>
      <w:r w:rsidRPr="008E576F">
        <w:rPr>
          <w:lang w:val="bg-BG"/>
        </w:rPr>
        <w:t xml:space="preserve"> </w:t>
      </w:r>
      <w:r w:rsidRPr="00D7773B">
        <w:t>Prevention</w:t>
      </w:r>
      <w:r w:rsidRPr="008E576F">
        <w:rPr>
          <w:lang w:val="bg-BG"/>
        </w:rPr>
        <w:t xml:space="preserve"> </w:t>
      </w:r>
      <w:r w:rsidRPr="00D7773B">
        <w:t>and</w:t>
      </w:r>
      <w:r w:rsidRPr="008E576F">
        <w:rPr>
          <w:lang w:val="bg-BG"/>
        </w:rPr>
        <w:t xml:space="preserve"> </w:t>
      </w:r>
      <w:r w:rsidRPr="00D7773B">
        <w:t>Protection</w:t>
      </w:r>
      <w:r w:rsidRPr="008E576F">
        <w:rPr>
          <w:lang w:val="bg-BG"/>
        </w:rPr>
        <w:t xml:space="preserve"> </w:t>
      </w:r>
      <w:r w:rsidRPr="00D7773B">
        <w:t>against</w:t>
      </w:r>
      <w:r w:rsidRPr="008E576F">
        <w:rPr>
          <w:lang w:val="bg-BG"/>
        </w:rPr>
        <w:t xml:space="preserve"> </w:t>
      </w:r>
      <w:r w:rsidRPr="00D7773B">
        <w:t>Domestic</w:t>
      </w:r>
      <w:r w:rsidRPr="008E576F">
        <w:rPr>
          <w:lang w:val="bg-BG"/>
        </w:rPr>
        <w:t xml:space="preserve"> </w:t>
      </w:r>
      <w:r w:rsidRPr="00D7773B">
        <w:t>Violence</w:t>
      </w:r>
      <w:r w:rsidRPr="008E576F">
        <w:rPr>
          <w:lang w:val="bg-BG"/>
        </w:rPr>
        <w:t xml:space="preserve"> </w:t>
      </w:r>
      <w:r w:rsidRPr="00D7773B">
        <w:t>for</w:t>
      </w:r>
      <w:r w:rsidRPr="008E576F">
        <w:rPr>
          <w:lang w:val="bg-BG"/>
        </w:rPr>
        <w:t xml:space="preserve"> 2019 </w:t>
      </w:r>
      <w:r w:rsidRPr="00D7773B">
        <w:rPr>
          <w:i/>
          <w:lang w:val="bg-BG"/>
        </w:rPr>
        <w:t>(</w:t>
      </w:r>
      <w:r w:rsidRPr="008E576F">
        <w:rPr>
          <w:i/>
          <w:lang w:val="bg-BG"/>
        </w:rPr>
        <w:t>Национална програма за превенция и защита от домашно насилие за 2019 г.)</w:t>
      </w:r>
      <w:r w:rsidRPr="008E576F">
        <w:rPr>
          <w:lang w:val="bg-BG"/>
        </w:rPr>
        <w:t xml:space="preserve">, 10 </w:t>
      </w:r>
      <w:r w:rsidRPr="00D7773B">
        <w:t>January</w:t>
      </w:r>
      <w:r w:rsidRPr="008E576F">
        <w:rPr>
          <w:lang w:val="bg-BG"/>
        </w:rPr>
        <w:t xml:space="preserve"> 2019, </w:t>
      </w:r>
      <w:hyperlink r:id="rId158" w:history="1">
        <w:r w:rsidRPr="00D7773B">
          <w:rPr>
            <w:rStyle w:val="Hyperlink"/>
          </w:rPr>
          <w:t>https</w:t>
        </w:r>
        <w:r w:rsidRPr="008E576F">
          <w:rPr>
            <w:rStyle w:val="Hyperlink"/>
            <w:lang w:val="bg-BG"/>
          </w:rPr>
          <w:t>://</w:t>
        </w:r>
        <w:r w:rsidRPr="00D7773B">
          <w:rPr>
            <w:rStyle w:val="Hyperlink"/>
          </w:rPr>
          <w:t>www</w:t>
        </w:r>
        <w:r w:rsidRPr="008E576F">
          <w:rPr>
            <w:rStyle w:val="Hyperlink"/>
            <w:lang w:val="bg-BG"/>
          </w:rPr>
          <w:t>.</w:t>
        </w:r>
        <w:r w:rsidRPr="00D7773B">
          <w:rPr>
            <w:rStyle w:val="Hyperlink"/>
          </w:rPr>
          <w:t>strategy</w:t>
        </w:r>
        <w:r w:rsidRPr="008E576F">
          <w:rPr>
            <w:rStyle w:val="Hyperlink"/>
            <w:lang w:val="bg-BG"/>
          </w:rPr>
          <w:t>.</w:t>
        </w:r>
        <w:r w:rsidRPr="00D7773B">
          <w:rPr>
            <w:rStyle w:val="Hyperlink"/>
          </w:rPr>
          <w:t>bg</w:t>
        </w:r>
        <w:r w:rsidRPr="008E576F">
          <w:rPr>
            <w:rStyle w:val="Hyperlink"/>
            <w:lang w:val="bg-BG"/>
          </w:rPr>
          <w:t>/</w:t>
        </w:r>
        <w:r w:rsidRPr="00D7773B">
          <w:rPr>
            <w:rStyle w:val="Hyperlink"/>
          </w:rPr>
          <w:t>StrategicDocuments</w:t>
        </w:r>
        <w:r w:rsidRPr="008E576F">
          <w:rPr>
            <w:rStyle w:val="Hyperlink"/>
            <w:lang w:val="bg-BG"/>
          </w:rPr>
          <w:t>/</w:t>
        </w:r>
        <w:r w:rsidRPr="00D7773B">
          <w:rPr>
            <w:rStyle w:val="Hyperlink"/>
          </w:rPr>
          <w:t>View</w:t>
        </w:r>
        <w:r w:rsidRPr="008E576F">
          <w:rPr>
            <w:rStyle w:val="Hyperlink"/>
            <w:lang w:val="bg-BG"/>
          </w:rPr>
          <w:t>.</w:t>
        </w:r>
        <w:r w:rsidRPr="00D7773B">
          <w:rPr>
            <w:rStyle w:val="Hyperlink"/>
          </w:rPr>
          <w:t>aspx</w:t>
        </w:r>
        <w:r w:rsidRPr="008E576F">
          <w:rPr>
            <w:rStyle w:val="Hyperlink"/>
            <w:lang w:val="bg-BG"/>
          </w:rPr>
          <w:t>?</w:t>
        </w:r>
        <w:r w:rsidRPr="00D7773B">
          <w:rPr>
            <w:rStyle w:val="Hyperlink"/>
          </w:rPr>
          <w:t>lang</w:t>
        </w:r>
        <w:r w:rsidRPr="008E576F">
          <w:rPr>
            <w:rStyle w:val="Hyperlink"/>
            <w:lang w:val="bg-BG"/>
          </w:rPr>
          <w:t>=</w:t>
        </w:r>
        <w:r w:rsidRPr="00D7773B">
          <w:rPr>
            <w:rStyle w:val="Hyperlink"/>
          </w:rPr>
          <w:t>bg</w:t>
        </w:r>
        <w:r w:rsidRPr="008E576F">
          <w:rPr>
            <w:rStyle w:val="Hyperlink"/>
            <w:lang w:val="bg-BG"/>
          </w:rPr>
          <w:t>-</w:t>
        </w:r>
        <w:r w:rsidRPr="00D7773B">
          <w:rPr>
            <w:rStyle w:val="Hyperlink"/>
          </w:rPr>
          <w:t>BG</w:t>
        </w:r>
        <w:r w:rsidRPr="008E576F">
          <w:rPr>
            <w:rStyle w:val="Hyperlink"/>
            <w:lang w:val="bg-BG"/>
          </w:rPr>
          <w:t>&amp;</w:t>
        </w:r>
        <w:r w:rsidRPr="00D7773B">
          <w:rPr>
            <w:rStyle w:val="Hyperlink"/>
          </w:rPr>
          <w:t>Id</w:t>
        </w:r>
        <w:r w:rsidRPr="008E576F">
          <w:rPr>
            <w:rStyle w:val="Hyperlink"/>
            <w:lang w:val="bg-BG"/>
          </w:rPr>
          <w:t>=1274</w:t>
        </w:r>
      </w:hyperlink>
      <w:r w:rsidRPr="008E576F">
        <w:rPr>
          <w:lang w:val="bg-BG"/>
        </w:rPr>
        <w:t xml:space="preserve"> </w:t>
      </w:r>
    </w:p>
  </w:footnote>
  <w:footnote w:id="164">
    <w:p w14:paraId="647D3125" w14:textId="11207D97" w:rsidR="00CD7B2E" w:rsidRPr="008E576F" w:rsidRDefault="00CD7B2E" w:rsidP="0077131A">
      <w:pPr>
        <w:pStyle w:val="FootnoteText"/>
        <w:rPr>
          <w:lang w:val="bg-BG"/>
        </w:rPr>
      </w:pPr>
      <w:r w:rsidRPr="00D7773B">
        <w:rPr>
          <w:rStyle w:val="FootnoteReference"/>
        </w:rPr>
        <w:footnoteRef/>
      </w:r>
      <w:r w:rsidRPr="008E576F">
        <w:rPr>
          <w:lang w:val="bg-BG"/>
        </w:rPr>
        <w:t xml:space="preserve"> </w:t>
      </w:r>
      <w:r w:rsidRPr="00D7773B">
        <w:t>Bulgaria</w:t>
      </w:r>
      <w:r w:rsidRPr="008E576F">
        <w:rPr>
          <w:lang w:val="bg-BG"/>
        </w:rPr>
        <w:t xml:space="preserve">, </w:t>
      </w:r>
      <w:r w:rsidRPr="00D7773B">
        <w:t>Prosecutor</w:t>
      </w:r>
      <w:r w:rsidRPr="008E576F">
        <w:rPr>
          <w:lang w:val="bg-BG"/>
        </w:rPr>
        <w:t xml:space="preserve"> </w:t>
      </w:r>
      <w:r w:rsidRPr="00D7773B">
        <w:t>General</w:t>
      </w:r>
      <w:r w:rsidRPr="008E576F">
        <w:rPr>
          <w:lang w:val="bg-BG"/>
        </w:rPr>
        <w:t xml:space="preserve"> </w:t>
      </w:r>
      <w:r w:rsidRPr="008E576F">
        <w:rPr>
          <w:i/>
          <w:lang w:val="bg-BG"/>
        </w:rPr>
        <w:t>(</w:t>
      </w:r>
      <w:r w:rsidRPr="00D7773B">
        <w:rPr>
          <w:i/>
          <w:lang w:val="bg-BG"/>
        </w:rPr>
        <w:t>Главен прокурор</w:t>
      </w:r>
      <w:r w:rsidRPr="008E576F">
        <w:rPr>
          <w:i/>
          <w:lang w:val="bg-BG"/>
        </w:rPr>
        <w:t>)</w:t>
      </w:r>
      <w:r w:rsidRPr="00D7773B">
        <w:rPr>
          <w:i/>
          <w:lang w:val="bg-BG"/>
        </w:rPr>
        <w:t xml:space="preserve"> </w:t>
      </w:r>
      <w:r w:rsidRPr="00D7773B">
        <w:rPr>
          <w:lang w:val="bg-BG"/>
        </w:rPr>
        <w:t>(</w:t>
      </w:r>
      <w:r w:rsidRPr="008E576F">
        <w:rPr>
          <w:lang w:val="bg-BG"/>
        </w:rPr>
        <w:t>2018</w:t>
      </w:r>
      <w:r w:rsidRPr="00D7773B">
        <w:rPr>
          <w:lang w:val="bg-BG"/>
        </w:rPr>
        <w:t xml:space="preserve">) </w:t>
      </w:r>
      <w:r w:rsidRPr="00D7773B">
        <w:t>Guidelines</w:t>
      </w:r>
      <w:r w:rsidRPr="008E576F">
        <w:rPr>
          <w:lang w:val="bg-BG"/>
        </w:rPr>
        <w:t xml:space="preserve"> </w:t>
      </w:r>
      <w:r w:rsidRPr="00D7773B">
        <w:t>on</w:t>
      </w:r>
      <w:r w:rsidRPr="008E576F">
        <w:rPr>
          <w:lang w:val="bg-BG"/>
        </w:rPr>
        <w:t xml:space="preserve"> </w:t>
      </w:r>
      <w:r w:rsidRPr="00D7773B">
        <w:t>the</w:t>
      </w:r>
      <w:r w:rsidRPr="008E576F">
        <w:rPr>
          <w:lang w:val="bg-BG"/>
        </w:rPr>
        <w:t xml:space="preserve"> </w:t>
      </w:r>
      <w:r w:rsidRPr="00D7773B">
        <w:t>organization</w:t>
      </w:r>
      <w:r w:rsidRPr="008E576F">
        <w:rPr>
          <w:lang w:val="bg-BG"/>
        </w:rPr>
        <w:t xml:space="preserve"> </w:t>
      </w:r>
      <w:r w:rsidRPr="00D7773B">
        <w:t>of</w:t>
      </w:r>
      <w:r w:rsidRPr="008E576F">
        <w:rPr>
          <w:lang w:val="bg-BG"/>
        </w:rPr>
        <w:t xml:space="preserve"> </w:t>
      </w:r>
      <w:r w:rsidRPr="00D7773B">
        <w:t>work</w:t>
      </w:r>
      <w:r w:rsidRPr="008E576F">
        <w:rPr>
          <w:lang w:val="bg-BG"/>
        </w:rPr>
        <w:t xml:space="preserve"> </w:t>
      </w:r>
      <w:r w:rsidRPr="00D7773B">
        <w:t>of</w:t>
      </w:r>
      <w:r w:rsidRPr="008E576F">
        <w:rPr>
          <w:lang w:val="bg-BG"/>
        </w:rPr>
        <w:t xml:space="preserve"> </w:t>
      </w:r>
      <w:r w:rsidRPr="00D7773B">
        <w:t>the</w:t>
      </w:r>
      <w:r w:rsidRPr="008E576F">
        <w:rPr>
          <w:lang w:val="bg-BG"/>
        </w:rPr>
        <w:t xml:space="preserve"> </w:t>
      </w:r>
      <w:r w:rsidRPr="00D7773B">
        <w:t>Prosecutor</w:t>
      </w:r>
      <w:r w:rsidRPr="008E576F">
        <w:rPr>
          <w:lang w:val="bg-BG"/>
        </w:rPr>
        <w:t>’</w:t>
      </w:r>
      <w:r w:rsidRPr="00D7773B">
        <w:t>s</w:t>
      </w:r>
      <w:r w:rsidRPr="008E576F">
        <w:rPr>
          <w:lang w:val="bg-BG"/>
        </w:rPr>
        <w:t xml:space="preserve"> </w:t>
      </w:r>
      <w:r w:rsidRPr="00D7773B">
        <w:t>Office</w:t>
      </w:r>
      <w:r w:rsidRPr="008E576F">
        <w:rPr>
          <w:lang w:val="bg-BG"/>
        </w:rPr>
        <w:t xml:space="preserve"> </w:t>
      </w:r>
      <w:r w:rsidRPr="00D7773B">
        <w:t>of</w:t>
      </w:r>
      <w:r w:rsidRPr="008E576F">
        <w:rPr>
          <w:lang w:val="bg-BG"/>
        </w:rPr>
        <w:t xml:space="preserve"> </w:t>
      </w:r>
      <w:r w:rsidRPr="00D7773B">
        <w:t>the</w:t>
      </w:r>
      <w:r w:rsidRPr="008E576F">
        <w:rPr>
          <w:lang w:val="bg-BG"/>
        </w:rPr>
        <w:t xml:space="preserve"> </w:t>
      </w:r>
      <w:r w:rsidRPr="00D7773B">
        <w:t>Republic</w:t>
      </w:r>
      <w:r w:rsidRPr="008E576F">
        <w:rPr>
          <w:lang w:val="bg-BG"/>
        </w:rPr>
        <w:t xml:space="preserve"> </w:t>
      </w:r>
      <w:r w:rsidRPr="00D7773B">
        <w:t>of</w:t>
      </w:r>
      <w:r w:rsidRPr="008E576F">
        <w:rPr>
          <w:lang w:val="bg-BG"/>
        </w:rPr>
        <w:t xml:space="preserve"> </w:t>
      </w:r>
      <w:r w:rsidRPr="00D7773B">
        <w:t>Bulgaria</w:t>
      </w:r>
      <w:r w:rsidRPr="008E576F">
        <w:rPr>
          <w:lang w:val="bg-BG"/>
        </w:rPr>
        <w:t xml:space="preserve"> </w:t>
      </w:r>
      <w:r w:rsidRPr="00D7773B">
        <w:t>on</w:t>
      </w:r>
      <w:r w:rsidRPr="008E576F">
        <w:rPr>
          <w:lang w:val="bg-BG"/>
        </w:rPr>
        <w:t xml:space="preserve"> </w:t>
      </w:r>
      <w:r w:rsidRPr="00D7773B">
        <w:t>files</w:t>
      </w:r>
      <w:r w:rsidRPr="008E576F">
        <w:rPr>
          <w:lang w:val="bg-BG"/>
        </w:rPr>
        <w:t xml:space="preserve"> </w:t>
      </w:r>
      <w:r w:rsidRPr="00D7773B">
        <w:t>and</w:t>
      </w:r>
      <w:r w:rsidRPr="008E576F">
        <w:rPr>
          <w:lang w:val="bg-BG"/>
        </w:rPr>
        <w:t xml:space="preserve"> </w:t>
      </w:r>
      <w:r w:rsidRPr="00D7773B">
        <w:t>pre</w:t>
      </w:r>
      <w:r w:rsidRPr="008E576F">
        <w:rPr>
          <w:lang w:val="bg-BG"/>
        </w:rPr>
        <w:t>-</w:t>
      </w:r>
      <w:r w:rsidRPr="00D7773B">
        <w:t>trial</w:t>
      </w:r>
      <w:r w:rsidRPr="008E576F">
        <w:rPr>
          <w:lang w:val="bg-BG"/>
        </w:rPr>
        <w:t xml:space="preserve"> </w:t>
      </w:r>
      <w:r w:rsidRPr="00D7773B">
        <w:t>proceedings</w:t>
      </w:r>
      <w:r w:rsidRPr="008E576F">
        <w:rPr>
          <w:lang w:val="bg-BG"/>
        </w:rPr>
        <w:t xml:space="preserve"> </w:t>
      </w:r>
      <w:r w:rsidRPr="00D7773B">
        <w:t>on</w:t>
      </w:r>
      <w:r w:rsidRPr="008E576F">
        <w:rPr>
          <w:lang w:val="bg-BG"/>
        </w:rPr>
        <w:t xml:space="preserve"> </w:t>
      </w:r>
      <w:r w:rsidRPr="00D7773B">
        <w:t>complaints</w:t>
      </w:r>
      <w:r w:rsidRPr="008E576F">
        <w:rPr>
          <w:lang w:val="bg-BG"/>
        </w:rPr>
        <w:t xml:space="preserve"> </w:t>
      </w:r>
      <w:r w:rsidRPr="00D7773B">
        <w:t>about</w:t>
      </w:r>
      <w:r w:rsidRPr="008E576F">
        <w:rPr>
          <w:lang w:val="bg-BG"/>
        </w:rPr>
        <w:t xml:space="preserve"> </w:t>
      </w:r>
      <w:r w:rsidRPr="00D7773B">
        <w:t>domestic</w:t>
      </w:r>
      <w:r w:rsidRPr="008E576F">
        <w:rPr>
          <w:lang w:val="bg-BG"/>
        </w:rPr>
        <w:t xml:space="preserve"> </w:t>
      </w:r>
      <w:r w:rsidRPr="00D7773B">
        <w:t>violence</w:t>
      </w:r>
      <w:r w:rsidRPr="008E576F">
        <w:rPr>
          <w:lang w:val="bg-BG"/>
        </w:rPr>
        <w:t xml:space="preserve">, </w:t>
      </w:r>
      <w:r w:rsidRPr="00D7773B">
        <w:t>murder</w:t>
      </w:r>
      <w:r w:rsidRPr="008E576F">
        <w:rPr>
          <w:lang w:val="bg-BG"/>
        </w:rPr>
        <w:t xml:space="preserve"> </w:t>
      </w:r>
      <w:r w:rsidRPr="00D7773B">
        <w:t>threats</w:t>
      </w:r>
      <w:r w:rsidRPr="008E576F">
        <w:rPr>
          <w:lang w:val="bg-BG"/>
        </w:rPr>
        <w:t xml:space="preserve"> </w:t>
      </w:r>
      <w:r w:rsidRPr="00D7773B">
        <w:t>and</w:t>
      </w:r>
      <w:r w:rsidRPr="008E576F">
        <w:rPr>
          <w:lang w:val="bg-BG"/>
        </w:rPr>
        <w:t xml:space="preserve"> </w:t>
      </w:r>
      <w:r w:rsidRPr="00D7773B">
        <w:t>violations</w:t>
      </w:r>
      <w:r w:rsidRPr="008E576F">
        <w:rPr>
          <w:lang w:val="bg-BG"/>
        </w:rPr>
        <w:t xml:space="preserve"> </w:t>
      </w:r>
      <w:r w:rsidRPr="00D7773B">
        <w:t>of</w:t>
      </w:r>
      <w:r w:rsidRPr="008E576F">
        <w:rPr>
          <w:lang w:val="bg-BG"/>
        </w:rPr>
        <w:t xml:space="preserve"> </w:t>
      </w:r>
      <w:r w:rsidRPr="00D7773B">
        <w:t>protection</w:t>
      </w:r>
      <w:r w:rsidRPr="008E576F">
        <w:rPr>
          <w:lang w:val="bg-BG"/>
        </w:rPr>
        <w:t xml:space="preserve"> </w:t>
      </w:r>
      <w:r w:rsidRPr="00D7773B">
        <w:t>orders</w:t>
      </w:r>
      <w:r w:rsidRPr="008E576F">
        <w:rPr>
          <w:lang w:val="bg-BG"/>
        </w:rPr>
        <w:t xml:space="preserve"> </w:t>
      </w:r>
      <w:r w:rsidRPr="008E576F">
        <w:rPr>
          <w:i/>
          <w:lang w:val="bg-BG"/>
        </w:rPr>
        <w:t>(</w:t>
      </w:r>
      <w:r w:rsidRPr="00D7773B">
        <w:rPr>
          <w:i/>
          <w:lang w:val="bg-BG"/>
        </w:rPr>
        <w:t>Указание за организацията на работа на Прокуратурата на Република България по преписки и досъдебни производства, образувани по съобщения за осъществено домашно насилие, за закана с убийство и за нарушена заповед за защита от домашно насилие</w:t>
      </w:r>
      <w:r w:rsidRPr="008E576F">
        <w:rPr>
          <w:i/>
          <w:lang w:val="bg-BG"/>
        </w:rPr>
        <w:t>)</w:t>
      </w:r>
      <w:r w:rsidRPr="008E576F">
        <w:rPr>
          <w:lang w:val="bg-BG"/>
        </w:rPr>
        <w:t xml:space="preserve">, 30 </w:t>
      </w:r>
      <w:r w:rsidRPr="00D7773B">
        <w:t>April</w:t>
      </w:r>
      <w:r w:rsidRPr="008E576F">
        <w:rPr>
          <w:lang w:val="bg-BG"/>
        </w:rPr>
        <w:t xml:space="preserve"> 2018, </w:t>
      </w:r>
      <w:hyperlink r:id="rId159" w:history="1">
        <w:r w:rsidRPr="00D7773B">
          <w:rPr>
            <w:rStyle w:val="Hyperlink"/>
          </w:rPr>
          <w:t>https</w:t>
        </w:r>
        <w:r w:rsidRPr="008E576F">
          <w:rPr>
            <w:rStyle w:val="Hyperlink"/>
            <w:lang w:val="bg-BG"/>
          </w:rPr>
          <w:t>://</w:t>
        </w:r>
        <w:r w:rsidRPr="00D7773B">
          <w:rPr>
            <w:rStyle w:val="Hyperlink"/>
          </w:rPr>
          <w:t>www</w:t>
        </w:r>
        <w:r w:rsidRPr="008E576F">
          <w:rPr>
            <w:rStyle w:val="Hyperlink"/>
            <w:lang w:val="bg-BG"/>
          </w:rPr>
          <w:t>.</w:t>
        </w:r>
        <w:r w:rsidRPr="00D7773B">
          <w:rPr>
            <w:rStyle w:val="Hyperlink"/>
          </w:rPr>
          <w:t>prb</w:t>
        </w:r>
        <w:r w:rsidRPr="008E576F">
          <w:rPr>
            <w:rStyle w:val="Hyperlink"/>
            <w:lang w:val="bg-BG"/>
          </w:rPr>
          <w:t>.</w:t>
        </w:r>
        <w:r w:rsidRPr="00D7773B">
          <w:rPr>
            <w:rStyle w:val="Hyperlink"/>
          </w:rPr>
          <w:t>bg</w:t>
        </w:r>
        <w:r w:rsidRPr="008E576F">
          <w:rPr>
            <w:rStyle w:val="Hyperlink"/>
            <w:lang w:val="bg-BG"/>
          </w:rPr>
          <w:t>/</w:t>
        </w:r>
        <w:r w:rsidRPr="00D7773B">
          <w:rPr>
            <w:rStyle w:val="Hyperlink"/>
          </w:rPr>
          <w:t>media</w:t>
        </w:r>
        <w:r w:rsidRPr="008E576F">
          <w:rPr>
            <w:rStyle w:val="Hyperlink"/>
            <w:lang w:val="bg-BG"/>
          </w:rPr>
          <w:t>/</w:t>
        </w:r>
        <w:r w:rsidRPr="00D7773B">
          <w:rPr>
            <w:rStyle w:val="Hyperlink"/>
          </w:rPr>
          <w:t>cms</w:t>
        </w:r>
        <w:r w:rsidRPr="008E576F">
          <w:rPr>
            <w:rStyle w:val="Hyperlink"/>
            <w:lang w:val="bg-BG"/>
          </w:rPr>
          <w:t>_</w:t>
        </w:r>
        <w:r w:rsidRPr="00D7773B">
          <w:rPr>
            <w:rStyle w:val="Hyperlink"/>
          </w:rPr>
          <w:t>page</w:t>
        </w:r>
        <w:r w:rsidRPr="008E576F">
          <w:rPr>
            <w:rStyle w:val="Hyperlink"/>
            <w:lang w:val="bg-BG"/>
          </w:rPr>
          <w:t>_</w:t>
        </w:r>
        <w:r w:rsidRPr="00D7773B">
          <w:rPr>
            <w:rStyle w:val="Hyperlink"/>
          </w:rPr>
          <w:t>media</w:t>
        </w:r>
        <w:r w:rsidRPr="008E576F">
          <w:rPr>
            <w:rStyle w:val="Hyperlink"/>
            <w:lang w:val="bg-BG"/>
          </w:rPr>
          <w:t>/6242/РД-02-09%20от%2030.04.2018.</w:t>
        </w:r>
        <w:r w:rsidRPr="00D7773B">
          <w:rPr>
            <w:rStyle w:val="Hyperlink"/>
          </w:rPr>
          <w:t>pdf</w:t>
        </w:r>
      </w:hyperlink>
      <w:r w:rsidRPr="008E576F">
        <w:rPr>
          <w:lang w:val="bg-BG"/>
        </w:rPr>
        <w:t xml:space="preserve"> </w:t>
      </w:r>
    </w:p>
  </w:footnote>
  <w:footnote w:id="165">
    <w:p w14:paraId="0EBF4BB3" w14:textId="3DA1923C" w:rsidR="00CD7B2E" w:rsidRPr="008E576F" w:rsidRDefault="00CD7B2E" w:rsidP="0077131A">
      <w:pPr>
        <w:pStyle w:val="FootnoteText"/>
        <w:rPr>
          <w:lang w:val="bg-BG"/>
        </w:rPr>
      </w:pPr>
      <w:r w:rsidRPr="00D7773B">
        <w:rPr>
          <w:rStyle w:val="FootnoteReference"/>
        </w:rPr>
        <w:footnoteRef/>
      </w:r>
      <w:r w:rsidRPr="008E576F">
        <w:rPr>
          <w:lang w:val="bg-BG"/>
        </w:rPr>
        <w:t xml:space="preserve"> </w:t>
      </w:r>
      <w:r w:rsidRPr="00D7773B">
        <w:t>Bulgaria</w:t>
      </w:r>
      <w:r w:rsidRPr="008E576F">
        <w:rPr>
          <w:lang w:val="bg-BG"/>
        </w:rPr>
        <w:t xml:space="preserve">, </w:t>
      </w:r>
      <w:r w:rsidRPr="00D7773B">
        <w:t>Co</w:t>
      </w:r>
      <w:r w:rsidRPr="008E576F">
        <w:rPr>
          <w:lang w:val="bg-BG"/>
        </w:rPr>
        <w:t>-</w:t>
      </w:r>
      <w:r w:rsidRPr="00D7773B">
        <w:t>ordination</w:t>
      </w:r>
      <w:r w:rsidRPr="008E576F">
        <w:rPr>
          <w:lang w:val="bg-BG"/>
        </w:rPr>
        <w:t xml:space="preserve"> </w:t>
      </w:r>
      <w:r w:rsidRPr="00D7773B">
        <w:t>mechanism</w:t>
      </w:r>
      <w:r w:rsidRPr="008E576F">
        <w:rPr>
          <w:lang w:val="bg-BG"/>
        </w:rPr>
        <w:t xml:space="preserve"> </w:t>
      </w:r>
      <w:r w:rsidRPr="00D7773B">
        <w:t>for</w:t>
      </w:r>
      <w:r w:rsidRPr="008E576F">
        <w:rPr>
          <w:lang w:val="bg-BG"/>
        </w:rPr>
        <w:t xml:space="preserve"> </w:t>
      </w:r>
      <w:r w:rsidRPr="00D7773B">
        <w:t>help</w:t>
      </w:r>
      <w:r w:rsidRPr="008E576F">
        <w:rPr>
          <w:lang w:val="bg-BG"/>
        </w:rPr>
        <w:t xml:space="preserve"> </w:t>
      </w:r>
      <w:r w:rsidRPr="00D7773B">
        <w:t>and</w:t>
      </w:r>
      <w:r w:rsidRPr="008E576F">
        <w:rPr>
          <w:lang w:val="bg-BG"/>
        </w:rPr>
        <w:t xml:space="preserve"> </w:t>
      </w:r>
      <w:r w:rsidRPr="00D7773B">
        <w:t>support</w:t>
      </w:r>
      <w:r w:rsidRPr="008E576F">
        <w:rPr>
          <w:lang w:val="bg-BG"/>
        </w:rPr>
        <w:t xml:space="preserve"> </w:t>
      </w:r>
      <w:r w:rsidRPr="00D7773B">
        <w:t>to</w:t>
      </w:r>
      <w:r w:rsidRPr="008E576F">
        <w:rPr>
          <w:lang w:val="bg-BG"/>
        </w:rPr>
        <w:t xml:space="preserve"> </w:t>
      </w:r>
      <w:r w:rsidRPr="00D7773B">
        <w:t>victims</w:t>
      </w:r>
      <w:r w:rsidRPr="008E576F">
        <w:rPr>
          <w:lang w:val="bg-BG"/>
        </w:rPr>
        <w:t xml:space="preserve"> </w:t>
      </w:r>
      <w:r w:rsidRPr="00D7773B">
        <w:t>of</w:t>
      </w:r>
      <w:r w:rsidRPr="008E576F">
        <w:rPr>
          <w:lang w:val="bg-BG"/>
        </w:rPr>
        <w:t xml:space="preserve"> </w:t>
      </w:r>
      <w:r w:rsidRPr="00D7773B">
        <w:t>domestic</w:t>
      </w:r>
      <w:r w:rsidRPr="008E576F">
        <w:rPr>
          <w:lang w:val="bg-BG"/>
        </w:rPr>
        <w:t xml:space="preserve"> </w:t>
      </w:r>
      <w:r w:rsidRPr="00D7773B">
        <w:t>violence</w:t>
      </w:r>
      <w:r w:rsidRPr="008E576F">
        <w:rPr>
          <w:lang w:val="bg-BG"/>
        </w:rPr>
        <w:t xml:space="preserve"> </w:t>
      </w:r>
      <w:r w:rsidRPr="008E576F">
        <w:rPr>
          <w:i/>
          <w:lang w:val="bg-BG"/>
        </w:rPr>
        <w:t>(Координационен механизъм</w:t>
      </w:r>
      <w:r w:rsidRPr="00D7773B">
        <w:rPr>
          <w:i/>
          <w:lang w:val="bg-BG"/>
        </w:rPr>
        <w:t xml:space="preserve"> </w:t>
      </w:r>
      <w:r w:rsidRPr="008E576F">
        <w:rPr>
          <w:i/>
          <w:lang w:val="bg-BG"/>
        </w:rPr>
        <w:t>за помощ и подкрепа</w:t>
      </w:r>
      <w:r w:rsidRPr="00D7773B">
        <w:rPr>
          <w:i/>
          <w:lang w:val="bg-BG"/>
        </w:rPr>
        <w:t xml:space="preserve"> </w:t>
      </w:r>
      <w:r w:rsidRPr="008E576F">
        <w:rPr>
          <w:i/>
          <w:lang w:val="bg-BG"/>
        </w:rPr>
        <w:t>на пострадали</w:t>
      </w:r>
      <w:r w:rsidRPr="00D7773B">
        <w:rPr>
          <w:i/>
          <w:lang w:val="bg-BG"/>
        </w:rPr>
        <w:t xml:space="preserve"> </w:t>
      </w:r>
      <w:r w:rsidRPr="008E576F">
        <w:rPr>
          <w:i/>
          <w:lang w:val="bg-BG"/>
        </w:rPr>
        <w:t>от домашно насилие)</w:t>
      </w:r>
      <w:r w:rsidRPr="008E576F">
        <w:rPr>
          <w:lang w:val="bg-BG"/>
        </w:rPr>
        <w:t xml:space="preserve">, </w:t>
      </w:r>
      <w:hyperlink r:id="rId160" w:history="1">
        <w:r w:rsidRPr="00D7773B">
          <w:rPr>
            <w:rStyle w:val="Hyperlink"/>
          </w:rPr>
          <w:t>http</w:t>
        </w:r>
        <w:r w:rsidRPr="008E576F">
          <w:rPr>
            <w:rStyle w:val="Hyperlink"/>
            <w:lang w:val="bg-BG"/>
          </w:rPr>
          <w:t>://</w:t>
        </w:r>
        <w:r w:rsidRPr="00D7773B">
          <w:rPr>
            <w:rStyle w:val="Hyperlink"/>
          </w:rPr>
          <w:t>animusassociation</w:t>
        </w:r>
        <w:r w:rsidRPr="008E576F">
          <w:rPr>
            <w:rStyle w:val="Hyperlink"/>
            <w:lang w:val="bg-BG"/>
          </w:rPr>
          <w:t>.</w:t>
        </w:r>
        <w:r w:rsidRPr="00D7773B">
          <w:rPr>
            <w:rStyle w:val="Hyperlink"/>
          </w:rPr>
          <w:t>org</w:t>
        </w:r>
        <w:r w:rsidRPr="008E576F">
          <w:rPr>
            <w:rStyle w:val="Hyperlink"/>
            <w:lang w:val="bg-BG"/>
          </w:rPr>
          <w:t>/</w:t>
        </w:r>
        <w:r w:rsidRPr="00D7773B">
          <w:rPr>
            <w:rStyle w:val="Hyperlink"/>
          </w:rPr>
          <w:t>wp</w:t>
        </w:r>
        <w:r w:rsidRPr="008E576F">
          <w:rPr>
            <w:rStyle w:val="Hyperlink"/>
            <w:lang w:val="bg-BG"/>
          </w:rPr>
          <w:t>-</w:t>
        </w:r>
        <w:r w:rsidRPr="00D7773B">
          <w:rPr>
            <w:rStyle w:val="Hyperlink"/>
          </w:rPr>
          <w:t>content</w:t>
        </w:r>
        <w:r w:rsidRPr="008E576F">
          <w:rPr>
            <w:rStyle w:val="Hyperlink"/>
            <w:lang w:val="bg-BG"/>
          </w:rPr>
          <w:t>/</w:t>
        </w:r>
        <w:r w:rsidRPr="00D7773B">
          <w:rPr>
            <w:rStyle w:val="Hyperlink"/>
          </w:rPr>
          <w:t>uploads</w:t>
        </w:r>
        <w:r w:rsidRPr="008E576F">
          <w:rPr>
            <w:rStyle w:val="Hyperlink"/>
            <w:lang w:val="bg-BG"/>
          </w:rPr>
          <w:t>/2017/08/</w:t>
        </w:r>
        <w:r w:rsidRPr="00D7773B">
          <w:rPr>
            <w:rStyle w:val="Hyperlink"/>
          </w:rPr>
          <w:t>Koordinacionen</w:t>
        </w:r>
        <w:r w:rsidRPr="008E576F">
          <w:rPr>
            <w:rStyle w:val="Hyperlink"/>
            <w:lang w:val="bg-BG"/>
          </w:rPr>
          <w:t>-</w:t>
        </w:r>
        <w:r w:rsidRPr="00D7773B">
          <w:rPr>
            <w:rStyle w:val="Hyperlink"/>
          </w:rPr>
          <w:t>mehanizum</w:t>
        </w:r>
        <w:r w:rsidRPr="008E576F">
          <w:rPr>
            <w:rStyle w:val="Hyperlink"/>
            <w:lang w:val="bg-BG"/>
          </w:rPr>
          <w:t>-</w:t>
        </w:r>
        <w:r w:rsidRPr="00D7773B">
          <w:rPr>
            <w:rStyle w:val="Hyperlink"/>
          </w:rPr>
          <w:t>doma</w:t>
        </w:r>
        <w:r w:rsidRPr="008E576F">
          <w:rPr>
            <w:rStyle w:val="Hyperlink"/>
            <w:lang w:val="bg-BG"/>
          </w:rPr>
          <w:t>6</w:t>
        </w:r>
        <w:r w:rsidRPr="00D7773B">
          <w:rPr>
            <w:rStyle w:val="Hyperlink"/>
          </w:rPr>
          <w:t>no</w:t>
        </w:r>
        <w:r w:rsidRPr="008E576F">
          <w:rPr>
            <w:rStyle w:val="Hyperlink"/>
            <w:lang w:val="bg-BG"/>
          </w:rPr>
          <w:t>-</w:t>
        </w:r>
        <w:r w:rsidRPr="00D7773B">
          <w:rPr>
            <w:rStyle w:val="Hyperlink"/>
          </w:rPr>
          <w:t>nasilie</w:t>
        </w:r>
        <w:r w:rsidRPr="008E576F">
          <w:rPr>
            <w:rStyle w:val="Hyperlink"/>
            <w:lang w:val="bg-BG"/>
          </w:rPr>
          <w:t>.</w:t>
        </w:r>
        <w:r w:rsidRPr="00D7773B">
          <w:rPr>
            <w:rStyle w:val="Hyperlink"/>
          </w:rPr>
          <w:t>pdf</w:t>
        </w:r>
      </w:hyperlink>
      <w:r w:rsidRPr="008E576F">
        <w:rPr>
          <w:lang w:val="bg-BG"/>
        </w:rPr>
        <w:t xml:space="preserve">  </w:t>
      </w:r>
    </w:p>
  </w:footnote>
  <w:footnote w:id="166">
    <w:p w14:paraId="1EFD9262" w14:textId="1BC8C9ED" w:rsidR="00CD7B2E" w:rsidRPr="00D7773B" w:rsidRDefault="00CD7B2E" w:rsidP="0077131A">
      <w:pPr>
        <w:pStyle w:val="FootnoteText"/>
      </w:pPr>
      <w:r w:rsidRPr="00D7773B">
        <w:rPr>
          <w:rStyle w:val="FootnoteReference"/>
        </w:rPr>
        <w:footnoteRef/>
      </w:r>
      <w:r w:rsidRPr="00D7773B">
        <w:t xml:space="preserve"> Bulgaria, Ministry of Justice </w:t>
      </w:r>
      <w:r w:rsidRPr="00D7773B">
        <w:rPr>
          <w:i/>
        </w:rPr>
        <w:t>(</w:t>
      </w:r>
      <w:r w:rsidRPr="00D7773B">
        <w:rPr>
          <w:i/>
          <w:lang w:val="bg-BG"/>
        </w:rPr>
        <w:t>Министерство на правосъдието</w:t>
      </w:r>
      <w:r w:rsidRPr="00D7773B">
        <w:rPr>
          <w:i/>
        </w:rPr>
        <w:t>)</w:t>
      </w:r>
      <w:r w:rsidRPr="00D7773B">
        <w:rPr>
          <w:i/>
          <w:lang w:val="bg-BG"/>
        </w:rPr>
        <w:t xml:space="preserve"> </w:t>
      </w:r>
      <w:r w:rsidRPr="00D7773B">
        <w:rPr>
          <w:lang w:val="bg-BG"/>
        </w:rPr>
        <w:t>(2019)</w:t>
      </w:r>
      <w:r w:rsidRPr="00D7773B">
        <w:t xml:space="preserve"> Guidelines for project applications under Art. 6, para. 7 of the Protection against Domestic Violence Act for 2019 </w:t>
      </w:r>
      <w:r w:rsidRPr="00D7773B">
        <w:rPr>
          <w:i/>
          <w:lang w:val="bg-BG"/>
        </w:rPr>
        <w:t>(Насоки за кандидатстване с проекти по чл. 6, ал. 7 от Закона за защита от домашно насилие за 2019 г.)</w:t>
      </w:r>
      <w:r w:rsidRPr="00D7773B">
        <w:rPr>
          <w:i/>
        </w:rPr>
        <w:t xml:space="preserve">, </w:t>
      </w:r>
      <w:hyperlink r:id="rId161" w:history="1">
        <w:r w:rsidRPr="00D7773B">
          <w:rPr>
            <w:rStyle w:val="Hyperlink"/>
          </w:rPr>
          <w:t>http://www.justice.government.bg/Files/Насоки_за_кандидатстване_ДН_2019_636867948606562148.pdf</w:t>
        </w:r>
      </w:hyperlink>
      <w:r w:rsidRPr="00D7773B">
        <w:rPr>
          <w:i/>
        </w:rPr>
        <w:t xml:space="preserve"> </w:t>
      </w:r>
    </w:p>
  </w:footnote>
  <w:footnote w:id="167">
    <w:p w14:paraId="5F33A970" w14:textId="58D94EC3" w:rsidR="00CD7B2E" w:rsidRPr="00D7773B" w:rsidRDefault="00CD7B2E" w:rsidP="0077131A">
      <w:pPr>
        <w:pStyle w:val="FootnoteText"/>
      </w:pPr>
      <w:r w:rsidRPr="00D7773B">
        <w:rPr>
          <w:rStyle w:val="FootnoteReference"/>
        </w:rPr>
        <w:footnoteRef/>
      </w:r>
      <w:r w:rsidRPr="00D7773B">
        <w:t xml:space="preserve"> See, for example, research by Bilitis: </w:t>
      </w:r>
      <w:hyperlink r:id="rId162" w:history="1">
        <w:r w:rsidRPr="00D7773B">
          <w:rPr>
            <w:rStyle w:val="Hyperlink"/>
          </w:rPr>
          <w:t>https://bilitis.org/publications/</w:t>
        </w:r>
      </w:hyperlink>
      <w:r w:rsidRPr="00D7773B">
        <w:t xml:space="preserve">. </w:t>
      </w:r>
    </w:p>
  </w:footnote>
  <w:footnote w:id="168">
    <w:p w14:paraId="74B63D67" w14:textId="4231E273" w:rsidR="00CD7B2E" w:rsidRPr="00D7773B" w:rsidRDefault="00CD7B2E" w:rsidP="0077131A">
      <w:pPr>
        <w:pStyle w:val="FootnoteText"/>
        <w:rPr>
          <w:lang w:val="ru-RU"/>
        </w:rPr>
      </w:pPr>
      <w:r w:rsidRPr="00D7773B">
        <w:rPr>
          <w:rStyle w:val="FootnoteReference"/>
        </w:rPr>
        <w:footnoteRef/>
      </w:r>
      <w:r w:rsidRPr="00D7773B">
        <w:t xml:space="preserve"> Bulgaria, National Assembly of the Republic of Bulgaria (</w:t>
      </w:r>
      <w:r w:rsidRPr="00D7773B">
        <w:rPr>
          <w:i/>
          <w:lang w:val="bg-BG"/>
        </w:rPr>
        <w:t>Народно събрание на Република България</w:t>
      </w:r>
      <w:r w:rsidRPr="00D7773B">
        <w:t xml:space="preserve">) Energy strategy of Republic of Bulgaria until 2020 </w:t>
      </w:r>
      <w:r w:rsidRPr="005713AB">
        <w:rPr>
          <w:i/>
          <w:iCs/>
          <w:lang w:val="ru-RU"/>
        </w:rPr>
        <w:t>(</w:t>
      </w:r>
      <w:r w:rsidRPr="005713AB">
        <w:rPr>
          <w:i/>
          <w:iCs/>
          <w:lang w:val="bg-BG"/>
        </w:rPr>
        <w:t>Енергийна стратегия на Република България до 2020 г.)</w:t>
      </w:r>
      <w:r w:rsidRPr="00D7773B">
        <w:rPr>
          <w:lang w:val="bg-BG"/>
        </w:rPr>
        <w:t xml:space="preserve">, </w:t>
      </w:r>
      <w:r>
        <w:t xml:space="preserve">1 June 2011, </w:t>
      </w:r>
      <w:hyperlink r:id="rId163" w:history="1">
        <w:r w:rsidRPr="003A5A7C">
          <w:rPr>
            <w:rStyle w:val="Hyperlink"/>
          </w:rPr>
          <w:t>http</w:t>
        </w:r>
        <w:r w:rsidRPr="003A5A7C">
          <w:rPr>
            <w:rStyle w:val="Hyperlink"/>
            <w:lang w:val="ru-RU"/>
          </w:rPr>
          <w:t>://</w:t>
        </w:r>
        <w:r w:rsidRPr="003A5A7C">
          <w:rPr>
            <w:rStyle w:val="Hyperlink"/>
          </w:rPr>
          <w:t>strategy</w:t>
        </w:r>
        <w:r w:rsidRPr="003A5A7C">
          <w:rPr>
            <w:rStyle w:val="Hyperlink"/>
            <w:lang w:val="ru-RU"/>
          </w:rPr>
          <w:t>.</w:t>
        </w:r>
        <w:r w:rsidRPr="003A5A7C">
          <w:rPr>
            <w:rStyle w:val="Hyperlink"/>
          </w:rPr>
          <w:t>bg</w:t>
        </w:r>
        <w:r w:rsidRPr="003A5A7C">
          <w:rPr>
            <w:rStyle w:val="Hyperlink"/>
            <w:lang w:val="ru-RU"/>
          </w:rPr>
          <w:t>/</w:t>
        </w:r>
        <w:r w:rsidRPr="003A5A7C">
          <w:rPr>
            <w:rStyle w:val="Hyperlink"/>
          </w:rPr>
          <w:t>StrategicDocuments</w:t>
        </w:r>
        <w:r w:rsidRPr="003A5A7C">
          <w:rPr>
            <w:rStyle w:val="Hyperlink"/>
            <w:lang w:val="ru-RU"/>
          </w:rPr>
          <w:t>/</w:t>
        </w:r>
        <w:r w:rsidRPr="003A5A7C">
          <w:rPr>
            <w:rStyle w:val="Hyperlink"/>
          </w:rPr>
          <w:t>View</w:t>
        </w:r>
        <w:r w:rsidRPr="003A5A7C">
          <w:rPr>
            <w:rStyle w:val="Hyperlink"/>
            <w:lang w:val="ru-RU"/>
          </w:rPr>
          <w:t>.</w:t>
        </w:r>
        <w:r w:rsidRPr="003A5A7C">
          <w:rPr>
            <w:rStyle w:val="Hyperlink"/>
          </w:rPr>
          <w:t>aspx</w:t>
        </w:r>
        <w:r w:rsidRPr="003A5A7C">
          <w:rPr>
            <w:rStyle w:val="Hyperlink"/>
            <w:lang w:val="ru-RU"/>
          </w:rPr>
          <w:t>?</w:t>
        </w:r>
        <w:r w:rsidRPr="003A5A7C">
          <w:rPr>
            <w:rStyle w:val="Hyperlink"/>
          </w:rPr>
          <w:t>lang</w:t>
        </w:r>
        <w:r w:rsidRPr="003A5A7C">
          <w:rPr>
            <w:rStyle w:val="Hyperlink"/>
            <w:lang w:val="ru-RU"/>
          </w:rPr>
          <w:t>=</w:t>
        </w:r>
        <w:r w:rsidRPr="003A5A7C">
          <w:rPr>
            <w:rStyle w:val="Hyperlink"/>
          </w:rPr>
          <w:t>bg</w:t>
        </w:r>
        <w:r w:rsidRPr="003A5A7C">
          <w:rPr>
            <w:rStyle w:val="Hyperlink"/>
            <w:lang w:val="ru-RU"/>
          </w:rPr>
          <w:t>-</w:t>
        </w:r>
        <w:r w:rsidRPr="003A5A7C">
          <w:rPr>
            <w:rStyle w:val="Hyperlink"/>
          </w:rPr>
          <w:t>BG</w:t>
        </w:r>
        <w:r w:rsidRPr="003A5A7C">
          <w:rPr>
            <w:rStyle w:val="Hyperlink"/>
            <w:lang w:val="ru-RU"/>
          </w:rPr>
          <w:t>&amp;</w:t>
        </w:r>
        <w:r w:rsidRPr="003A5A7C">
          <w:rPr>
            <w:rStyle w:val="Hyperlink"/>
          </w:rPr>
          <w:t>Id</w:t>
        </w:r>
        <w:r w:rsidRPr="003A5A7C">
          <w:rPr>
            <w:rStyle w:val="Hyperlink"/>
            <w:lang w:val="ru-RU"/>
          </w:rPr>
          <w:t>=704</w:t>
        </w:r>
      </w:hyperlink>
    </w:p>
  </w:footnote>
  <w:footnote w:id="169">
    <w:p w14:paraId="10FF8077" w14:textId="523BBBBE" w:rsidR="00CD7B2E" w:rsidRPr="00D7773B" w:rsidRDefault="00CD7B2E" w:rsidP="0077131A">
      <w:pPr>
        <w:pStyle w:val="FootnoteText"/>
        <w:rPr>
          <w:color w:val="000000" w:themeColor="text1"/>
        </w:rPr>
      </w:pPr>
      <w:r w:rsidRPr="00D7773B">
        <w:rPr>
          <w:rStyle w:val="FootnoteReference"/>
        </w:rPr>
        <w:footnoteRef/>
      </w:r>
      <w:r w:rsidRPr="00D7773B">
        <w:t xml:space="preserve"> Bulgaria, Council of Ministers of the Republic of Bulgaria </w:t>
      </w:r>
      <w:r w:rsidRPr="00D7773B">
        <w:rPr>
          <w:i/>
          <w:iCs/>
        </w:rPr>
        <w:t>(</w:t>
      </w:r>
      <w:r w:rsidRPr="00D7773B">
        <w:rPr>
          <w:i/>
          <w:iCs/>
          <w:lang w:val="bg-BG"/>
        </w:rPr>
        <w:t>Министерски съвет на Република България</w:t>
      </w:r>
      <w:r w:rsidRPr="00D7773B">
        <w:rPr>
          <w:i/>
          <w:iCs/>
        </w:rPr>
        <w:t>)</w:t>
      </w:r>
      <w:r w:rsidRPr="00D7773B">
        <w:rPr>
          <w:lang w:val="bg-BG"/>
        </w:rPr>
        <w:t xml:space="preserve"> </w:t>
      </w:r>
      <w:r w:rsidRPr="00D7773B">
        <w:rPr>
          <w:bCs/>
        </w:rPr>
        <w:t xml:space="preserve">(2013), </w:t>
      </w:r>
      <w:r w:rsidRPr="00D7773B">
        <w:t xml:space="preserve">National strategy for reducing poverty and promoting social inclusion 2020, 6 February 2013, </w:t>
      </w:r>
      <w:hyperlink r:id="rId164" w:history="1">
        <w:r w:rsidRPr="00D7773B">
          <w:rPr>
            <w:rStyle w:val="Hyperlink"/>
          </w:rPr>
          <w:t>https://www.strategy.bg/StrategicDocuments/View.aspx?lang=bg-BG&amp;Id=790</w:t>
        </w:r>
      </w:hyperlink>
      <w:r w:rsidRPr="00D7773B">
        <w:rPr>
          <w:rStyle w:val="Hyperlink"/>
          <w:color w:val="000000" w:themeColor="text1"/>
          <w:u w:val="none"/>
        </w:rPr>
        <w:t xml:space="preserve">. </w:t>
      </w:r>
    </w:p>
  </w:footnote>
  <w:footnote w:id="170">
    <w:p w14:paraId="398B5550" w14:textId="77777777" w:rsidR="00CD7B2E" w:rsidRPr="00D7773B" w:rsidRDefault="00CD7B2E" w:rsidP="0077131A">
      <w:pPr>
        <w:pStyle w:val="FootnoteText"/>
        <w:rPr>
          <w:lang w:val="ru-RU"/>
        </w:rPr>
      </w:pPr>
      <w:r w:rsidRPr="00D7773B">
        <w:rPr>
          <w:rStyle w:val="FootnoteReference"/>
        </w:rPr>
        <w:footnoteRef/>
      </w:r>
      <w:r w:rsidRPr="00D7773B">
        <w:rPr>
          <w:lang w:val="ru-RU"/>
        </w:rPr>
        <w:t xml:space="preserve"> </w:t>
      </w:r>
      <w:r w:rsidRPr="00D7773B">
        <w:t>Bulgaria</w:t>
      </w:r>
      <w:r w:rsidRPr="00D7773B">
        <w:rPr>
          <w:lang w:val="ru-RU"/>
        </w:rPr>
        <w:t xml:space="preserve">, </w:t>
      </w:r>
      <w:r w:rsidRPr="00D7773B">
        <w:t>Open</w:t>
      </w:r>
      <w:r w:rsidRPr="00D7773B">
        <w:rPr>
          <w:lang w:val="ru-RU"/>
        </w:rPr>
        <w:t xml:space="preserve"> </w:t>
      </w:r>
      <w:r w:rsidRPr="00D7773B">
        <w:t>Society</w:t>
      </w:r>
      <w:r w:rsidRPr="00D7773B">
        <w:rPr>
          <w:lang w:val="ru-RU"/>
        </w:rPr>
        <w:t xml:space="preserve"> </w:t>
      </w:r>
      <w:r w:rsidRPr="00D7773B">
        <w:t>Institute</w:t>
      </w:r>
      <w:r w:rsidRPr="00D7773B">
        <w:rPr>
          <w:lang w:val="ru-RU"/>
        </w:rPr>
        <w:t xml:space="preserve"> (</w:t>
      </w:r>
      <w:r w:rsidRPr="00D7773B">
        <w:rPr>
          <w:i/>
          <w:lang w:val="bg-BG"/>
        </w:rPr>
        <w:t>Институт Отворено Общество</w:t>
      </w:r>
      <w:r w:rsidRPr="00D7773B">
        <w:rPr>
          <w:lang w:val="ru-RU"/>
        </w:rPr>
        <w:t xml:space="preserve">), </w:t>
      </w:r>
      <w:r w:rsidRPr="00D7773B">
        <w:t>Energy</w:t>
      </w:r>
      <w:r w:rsidRPr="00D7773B">
        <w:rPr>
          <w:lang w:val="ru-RU"/>
        </w:rPr>
        <w:t xml:space="preserve"> </w:t>
      </w:r>
      <w:r w:rsidRPr="00D7773B">
        <w:t>poverty</w:t>
      </w:r>
      <w:r w:rsidRPr="00D7773B">
        <w:rPr>
          <w:lang w:val="ru-RU"/>
        </w:rPr>
        <w:t xml:space="preserve"> </w:t>
      </w:r>
      <w:r w:rsidRPr="00D7773B">
        <w:t>in</w:t>
      </w:r>
      <w:r w:rsidRPr="00D7773B">
        <w:rPr>
          <w:lang w:val="ru-RU"/>
        </w:rPr>
        <w:t xml:space="preserve"> </w:t>
      </w:r>
      <w:r w:rsidRPr="00D7773B">
        <w:t>Bulgaria</w:t>
      </w:r>
      <w:r w:rsidRPr="00D7773B">
        <w:rPr>
          <w:lang w:val="ru-RU"/>
        </w:rPr>
        <w:t xml:space="preserve"> 2016 (</w:t>
      </w:r>
      <w:r w:rsidRPr="00D7773B">
        <w:rPr>
          <w:i/>
          <w:lang w:val="bg-BG"/>
        </w:rPr>
        <w:t>Енергийната бедност в България 2016 г.</w:t>
      </w:r>
      <w:r w:rsidRPr="00D7773B">
        <w:rPr>
          <w:lang w:val="ru-RU"/>
        </w:rPr>
        <w:t xml:space="preserve">), </w:t>
      </w:r>
      <w:hyperlink r:id="rId165" w:history="1">
        <w:r w:rsidRPr="00D7773B">
          <w:rPr>
            <w:rStyle w:val="Hyperlink"/>
          </w:rPr>
          <w:t>http</w:t>
        </w:r>
        <w:r w:rsidRPr="00D7773B">
          <w:rPr>
            <w:rStyle w:val="Hyperlink"/>
            <w:lang w:val="ru-RU"/>
          </w:rPr>
          <w:t>://</w:t>
        </w:r>
        <w:r w:rsidRPr="00D7773B">
          <w:rPr>
            <w:rStyle w:val="Hyperlink"/>
          </w:rPr>
          <w:t>osi</w:t>
        </w:r>
        <w:r w:rsidRPr="00D7773B">
          <w:rPr>
            <w:rStyle w:val="Hyperlink"/>
            <w:lang w:val="ru-RU"/>
          </w:rPr>
          <w:t>.</w:t>
        </w:r>
        <w:r w:rsidRPr="00D7773B">
          <w:rPr>
            <w:rStyle w:val="Hyperlink"/>
          </w:rPr>
          <w:t>bg</w:t>
        </w:r>
        <w:r w:rsidRPr="00D7773B">
          <w:rPr>
            <w:rStyle w:val="Hyperlink"/>
            <w:lang w:val="ru-RU"/>
          </w:rPr>
          <w:t>/</w:t>
        </w:r>
        <w:r w:rsidRPr="00D7773B">
          <w:rPr>
            <w:rStyle w:val="Hyperlink"/>
          </w:rPr>
          <w:t>downloads</w:t>
        </w:r>
        <w:r w:rsidRPr="00D7773B">
          <w:rPr>
            <w:rStyle w:val="Hyperlink"/>
            <w:lang w:val="ru-RU"/>
          </w:rPr>
          <w:t>/</w:t>
        </w:r>
        <w:r w:rsidRPr="00D7773B">
          <w:rPr>
            <w:rStyle w:val="Hyperlink"/>
          </w:rPr>
          <w:t>File</w:t>
        </w:r>
        <w:r w:rsidRPr="00D7773B">
          <w:rPr>
            <w:rStyle w:val="Hyperlink"/>
            <w:lang w:val="ru-RU"/>
          </w:rPr>
          <w:t>/2016/</w:t>
        </w:r>
        <w:r w:rsidRPr="00D7773B">
          <w:rPr>
            <w:rStyle w:val="Hyperlink"/>
          </w:rPr>
          <w:t>energy</w:t>
        </w:r>
        <w:r w:rsidRPr="00D7773B">
          <w:rPr>
            <w:rStyle w:val="Hyperlink"/>
            <w:lang w:val="ru-RU"/>
          </w:rPr>
          <w:t>4.</w:t>
        </w:r>
        <w:r w:rsidRPr="00D7773B">
          <w:rPr>
            <w:rStyle w:val="Hyperlink"/>
          </w:rPr>
          <w:t>pdf</w:t>
        </w:r>
      </w:hyperlink>
    </w:p>
  </w:footnote>
  <w:footnote w:id="171">
    <w:p w14:paraId="08B2CB85" w14:textId="77777777" w:rsidR="00CD7B2E" w:rsidRPr="008E576F" w:rsidRDefault="00CD7B2E" w:rsidP="0077131A">
      <w:pPr>
        <w:pStyle w:val="FootnoteText"/>
        <w:rPr>
          <w:lang w:val="ru-RU"/>
        </w:rPr>
      </w:pPr>
      <w:r w:rsidRPr="00D7773B">
        <w:rPr>
          <w:rStyle w:val="FootnoteReference"/>
        </w:rPr>
        <w:footnoteRef/>
      </w:r>
      <w:r w:rsidRPr="008E576F">
        <w:rPr>
          <w:lang w:val="ru-RU"/>
        </w:rPr>
        <w:t xml:space="preserve"> </w:t>
      </w:r>
      <w:r w:rsidRPr="00D7773B">
        <w:t>Kisyov</w:t>
      </w:r>
      <w:r w:rsidRPr="008E576F">
        <w:rPr>
          <w:lang w:val="ru-RU"/>
        </w:rPr>
        <w:t xml:space="preserve">, </w:t>
      </w:r>
      <w:r w:rsidRPr="00D7773B">
        <w:t>P</w:t>
      </w:r>
      <w:r w:rsidRPr="008E576F">
        <w:rPr>
          <w:lang w:val="ru-RU"/>
        </w:rPr>
        <w:t xml:space="preserve">., </w:t>
      </w:r>
      <w:r w:rsidRPr="00D7773B">
        <w:t>Reduce</w:t>
      </w:r>
      <w:r w:rsidRPr="008E576F">
        <w:rPr>
          <w:lang w:val="ru-RU"/>
        </w:rPr>
        <w:t xml:space="preserve"> </w:t>
      </w:r>
      <w:r w:rsidRPr="00D7773B">
        <w:t>Energy</w:t>
      </w:r>
      <w:r w:rsidRPr="008E576F">
        <w:rPr>
          <w:lang w:val="ru-RU"/>
        </w:rPr>
        <w:t xml:space="preserve"> </w:t>
      </w:r>
      <w:r w:rsidRPr="00D7773B">
        <w:t>use</w:t>
      </w:r>
      <w:r w:rsidRPr="008E576F">
        <w:rPr>
          <w:lang w:val="ru-RU"/>
        </w:rPr>
        <w:t xml:space="preserve"> </w:t>
      </w:r>
      <w:r w:rsidRPr="00D7773B">
        <w:t>And</w:t>
      </w:r>
      <w:r w:rsidRPr="008E576F">
        <w:rPr>
          <w:lang w:val="ru-RU"/>
        </w:rPr>
        <w:t xml:space="preserve"> </w:t>
      </w:r>
      <w:r w:rsidRPr="00D7773B">
        <w:t>Change</w:t>
      </w:r>
      <w:r w:rsidRPr="008E576F">
        <w:rPr>
          <w:lang w:val="ru-RU"/>
        </w:rPr>
        <w:t xml:space="preserve"> </w:t>
      </w:r>
      <w:r w:rsidRPr="00D7773B">
        <w:t>Habits</w:t>
      </w:r>
      <w:r w:rsidRPr="008E576F">
        <w:rPr>
          <w:lang w:val="ru-RU"/>
        </w:rPr>
        <w:t xml:space="preserve"> (</w:t>
      </w:r>
      <w:r w:rsidRPr="00D7773B">
        <w:t>REACH</w:t>
      </w:r>
      <w:r w:rsidRPr="008E576F">
        <w:rPr>
          <w:lang w:val="ru-RU"/>
        </w:rPr>
        <w:t xml:space="preserve">), </w:t>
      </w:r>
      <w:r w:rsidRPr="00D7773B">
        <w:t>Report</w:t>
      </w:r>
      <w:r w:rsidRPr="008E576F">
        <w:rPr>
          <w:lang w:val="ru-RU"/>
        </w:rPr>
        <w:t xml:space="preserve"> </w:t>
      </w:r>
      <w:r w:rsidRPr="00D7773B">
        <w:t>of</w:t>
      </w:r>
      <w:r w:rsidRPr="008E576F">
        <w:rPr>
          <w:lang w:val="ru-RU"/>
        </w:rPr>
        <w:t xml:space="preserve"> </w:t>
      </w:r>
      <w:r w:rsidRPr="00D7773B">
        <w:t>the</w:t>
      </w:r>
      <w:r w:rsidRPr="008E576F">
        <w:rPr>
          <w:lang w:val="ru-RU"/>
        </w:rPr>
        <w:t xml:space="preserve"> </w:t>
      </w:r>
      <w:r w:rsidRPr="00D7773B">
        <w:t>Situation</w:t>
      </w:r>
      <w:r w:rsidRPr="008E576F">
        <w:rPr>
          <w:lang w:val="ru-RU"/>
        </w:rPr>
        <w:t xml:space="preserve"> </w:t>
      </w:r>
      <w:r w:rsidRPr="00D7773B">
        <w:t>in</w:t>
      </w:r>
      <w:r w:rsidRPr="008E576F">
        <w:rPr>
          <w:lang w:val="ru-RU"/>
        </w:rPr>
        <w:t xml:space="preserve"> </w:t>
      </w:r>
      <w:r w:rsidRPr="00D7773B">
        <w:t>Bulgaria</w:t>
      </w:r>
      <w:r w:rsidRPr="008E576F">
        <w:rPr>
          <w:lang w:val="ru-RU"/>
        </w:rPr>
        <w:t xml:space="preserve"> </w:t>
      </w:r>
      <w:r w:rsidRPr="00D7773B">
        <w:t>regarding</w:t>
      </w:r>
      <w:r w:rsidRPr="008E576F">
        <w:rPr>
          <w:lang w:val="ru-RU"/>
        </w:rPr>
        <w:t xml:space="preserve"> </w:t>
      </w:r>
      <w:r w:rsidRPr="00D7773B">
        <w:t>Energy</w:t>
      </w:r>
      <w:r w:rsidRPr="008E576F">
        <w:rPr>
          <w:lang w:val="ru-RU"/>
        </w:rPr>
        <w:t xml:space="preserve"> </w:t>
      </w:r>
      <w:r w:rsidRPr="00D7773B">
        <w:t>Poverty</w:t>
      </w:r>
      <w:r w:rsidRPr="008E576F">
        <w:rPr>
          <w:lang w:val="ru-RU"/>
        </w:rPr>
        <w:t xml:space="preserve"> (</w:t>
      </w:r>
      <w:r w:rsidRPr="00D7773B">
        <w:rPr>
          <w:i/>
          <w:lang w:val="bg-BG"/>
        </w:rPr>
        <w:t>Доклад за ситуацията в България по отношение на енергийната бедност</w:t>
      </w:r>
      <w:r w:rsidRPr="008E576F">
        <w:rPr>
          <w:lang w:val="ru-RU"/>
        </w:rPr>
        <w:t xml:space="preserve">), </w:t>
      </w:r>
      <w:hyperlink r:id="rId166" w:history="1">
        <w:r w:rsidRPr="00D7773B">
          <w:rPr>
            <w:rStyle w:val="Hyperlink"/>
          </w:rPr>
          <w:t>http</w:t>
        </w:r>
        <w:r w:rsidRPr="008E576F">
          <w:rPr>
            <w:rStyle w:val="Hyperlink"/>
            <w:lang w:val="ru-RU"/>
          </w:rPr>
          <w:t>://</w:t>
        </w:r>
        <w:r w:rsidRPr="00D7773B">
          <w:rPr>
            <w:rStyle w:val="Hyperlink"/>
          </w:rPr>
          <w:t>reach</w:t>
        </w:r>
        <w:r w:rsidRPr="008E576F">
          <w:rPr>
            <w:rStyle w:val="Hyperlink"/>
            <w:lang w:val="ru-RU"/>
          </w:rPr>
          <w:t>-</w:t>
        </w:r>
        <w:r w:rsidRPr="00D7773B">
          <w:rPr>
            <w:rStyle w:val="Hyperlink"/>
          </w:rPr>
          <w:t>energy</w:t>
        </w:r>
        <w:r w:rsidRPr="008E576F">
          <w:rPr>
            <w:rStyle w:val="Hyperlink"/>
            <w:lang w:val="ru-RU"/>
          </w:rPr>
          <w:t>.</w:t>
        </w:r>
        <w:r w:rsidRPr="00D7773B">
          <w:rPr>
            <w:rStyle w:val="Hyperlink"/>
          </w:rPr>
          <w:t>eu</w:t>
        </w:r>
        <w:r w:rsidRPr="008E576F">
          <w:rPr>
            <w:rStyle w:val="Hyperlink"/>
            <w:lang w:val="ru-RU"/>
          </w:rPr>
          <w:t>/</w:t>
        </w:r>
        <w:r w:rsidRPr="00D7773B">
          <w:rPr>
            <w:rStyle w:val="Hyperlink"/>
          </w:rPr>
          <w:t>wordpress</w:t>
        </w:r>
        <w:r w:rsidRPr="008E576F">
          <w:rPr>
            <w:rStyle w:val="Hyperlink"/>
            <w:lang w:val="ru-RU"/>
          </w:rPr>
          <w:t>/</w:t>
        </w:r>
        <w:r w:rsidRPr="00D7773B">
          <w:rPr>
            <w:rStyle w:val="Hyperlink"/>
          </w:rPr>
          <w:t>wp</w:t>
        </w:r>
        <w:r w:rsidRPr="008E576F">
          <w:rPr>
            <w:rStyle w:val="Hyperlink"/>
            <w:lang w:val="ru-RU"/>
          </w:rPr>
          <w:t>-</w:t>
        </w:r>
        <w:r w:rsidRPr="00D7773B">
          <w:rPr>
            <w:rStyle w:val="Hyperlink"/>
          </w:rPr>
          <w:t>content</w:t>
        </w:r>
        <w:r w:rsidRPr="008E576F">
          <w:rPr>
            <w:rStyle w:val="Hyperlink"/>
            <w:lang w:val="ru-RU"/>
          </w:rPr>
          <w:t>/</w:t>
        </w:r>
        <w:r w:rsidRPr="00D7773B">
          <w:rPr>
            <w:rStyle w:val="Hyperlink"/>
          </w:rPr>
          <w:t>uploads</w:t>
        </w:r>
        <w:r w:rsidRPr="008E576F">
          <w:rPr>
            <w:rStyle w:val="Hyperlink"/>
            <w:lang w:val="ru-RU"/>
          </w:rPr>
          <w:t>/2014/11/</w:t>
        </w:r>
        <w:r w:rsidRPr="00D7773B">
          <w:rPr>
            <w:rStyle w:val="Hyperlink"/>
          </w:rPr>
          <w:t>D</w:t>
        </w:r>
        <w:r w:rsidRPr="008E576F">
          <w:rPr>
            <w:rStyle w:val="Hyperlink"/>
            <w:lang w:val="ru-RU"/>
          </w:rPr>
          <w:t>2.2-</w:t>
        </w:r>
        <w:r w:rsidRPr="00D7773B">
          <w:rPr>
            <w:rStyle w:val="Hyperlink"/>
          </w:rPr>
          <w:t>EAP</w:t>
        </w:r>
        <w:r w:rsidRPr="008E576F">
          <w:rPr>
            <w:rStyle w:val="Hyperlink"/>
            <w:lang w:val="ru-RU"/>
          </w:rPr>
          <w:t>_</w:t>
        </w:r>
        <w:r w:rsidRPr="00D7773B">
          <w:rPr>
            <w:rStyle w:val="Hyperlink"/>
          </w:rPr>
          <w:t>BG</w:t>
        </w:r>
        <w:r w:rsidRPr="008E576F">
          <w:rPr>
            <w:rStyle w:val="Hyperlink"/>
            <w:lang w:val="ru-RU"/>
          </w:rPr>
          <w:t>.</w:t>
        </w:r>
        <w:r w:rsidRPr="00D7773B">
          <w:rPr>
            <w:rStyle w:val="Hyperlink"/>
          </w:rPr>
          <w:t>pdf</w:t>
        </w:r>
      </w:hyperlink>
    </w:p>
  </w:footnote>
  <w:footnote w:id="172">
    <w:p w14:paraId="11317825" w14:textId="73FBF9CB" w:rsidR="00CD7B2E" w:rsidRPr="008E576F" w:rsidRDefault="00CD7B2E" w:rsidP="0077131A">
      <w:pPr>
        <w:pStyle w:val="FootnoteText"/>
        <w:rPr>
          <w:lang w:val="ru-RU"/>
        </w:rPr>
      </w:pPr>
      <w:r>
        <w:rPr>
          <w:rStyle w:val="FootnoteReference"/>
        </w:rPr>
        <w:footnoteRef/>
      </w:r>
      <w:r w:rsidRPr="008E576F">
        <w:rPr>
          <w:lang w:val="ru-RU"/>
        </w:rPr>
        <w:t xml:space="preserve"> </w:t>
      </w:r>
      <w:r w:rsidRPr="00D7773B">
        <w:t>Bulgaria</w:t>
      </w:r>
      <w:r w:rsidRPr="008E576F">
        <w:rPr>
          <w:lang w:val="ru-RU"/>
        </w:rPr>
        <w:t xml:space="preserve">, </w:t>
      </w:r>
      <w:r w:rsidRPr="00D7773B">
        <w:t>Council</w:t>
      </w:r>
      <w:r w:rsidRPr="008E576F">
        <w:rPr>
          <w:lang w:val="ru-RU"/>
        </w:rPr>
        <w:t xml:space="preserve"> </w:t>
      </w:r>
      <w:r w:rsidRPr="00D7773B">
        <w:t>of</w:t>
      </w:r>
      <w:r w:rsidRPr="008E576F">
        <w:rPr>
          <w:lang w:val="ru-RU"/>
        </w:rPr>
        <w:t xml:space="preserve"> </w:t>
      </w:r>
      <w:r w:rsidRPr="00D7773B">
        <w:t>Ministers</w:t>
      </w:r>
      <w:r w:rsidRPr="008E576F">
        <w:rPr>
          <w:lang w:val="ru-RU"/>
        </w:rPr>
        <w:t xml:space="preserve"> </w:t>
      </w:r>
      <w:r w:rsidRPr="00D7773B">
        <w:t>of</w:t>
      </w:r>
      <w:r w:rsidRPr="008E576F">
        <w:rPr>
          <w:lang w:val="ru-RU"/>
        </w:rPr>
        <w:t xml:space="preserve"> </w:t>
      </w:r>
      <w:r w:rsidRPr="00D7773B">
        <w:t>Republic</w:t>
      </w:r>
      <w:r w:rsidRPr="008E576F">
        <w:rPr>
          <w:lang w:val="ru-RU"/>
        </w:rPr>
        <w:t xml:space="preserve"> </w:t>
      </w:r>
      <w:r w:rsidRPr="00D7773B">
        <w:t>of</w:t>
      </w:r>
      <w:r w:rsidRPr="008E576F">
        <w:rPr>
          <w:lang w:val="ru-RU"/>
        </w:rPr>
        <w:t xml:space="preserve"> </w:t>
      </w:r>
      <w:r w:rsidRPr="00D7773B">
        <w:t>Bulgaria</w:t>
      </w:r>
      <w:r w:rsidRPr="008E576F">
        <w:rPr>
          <w:lang w:val="ru-RU"/>
        </w:rPr>
        <w:t xml:space="preserve"> (</w:t>
      </w:r>
      <w:r w:rsidRPr="00D7773B">
        <w:rPr>
          <w:i/>
          <w:lang w:val="bg-BG"/>
        </w:rPr>
        <w:t>Министерски съвет на Република България</w:t>
      </w:r>
      <w:r w:rsidRPr="008E576F">
        <w:rPr>
          <w:lang w:val="ru-RU"/>
        </w:rPr>
        <w:t xml:space="preserve">), </w:t>
      </w:r>
      <w:r w:rsidRPr="00D7773B">
        <w:t>National</w:t>
      </w:r>
      <w:r w:rsidRPr="008E576F">
        <w:rPr>
          <w:lang w:val="ru-RU"/>
        </w:rPr>
        <w:t xml:space="preserve"> </w:t>
      </w:r>
      <w:r w:rsidRPr="00D7773B">
        <w:t>Development</w:t>
      </w:r>
      <w:r w:rsidRPr="008E576F">
        <w:rPr>
          <w:lang w:val="ru-RU"/>
        </w:rPr>
        <w:t xml:space="preserve"> </w:t>
      </w:r>
      <w:r w:rsidRPr="00D7773B">
        <w:t>Programme</w:t>
      </w:r>
      <w:r w:rsidRPr="008E576F">
        <w:rPr>
          <w:lang w:val="ru-RU"/>
        </w:rPr>
        <w:t xml:space="preserve">: </w:t>
      </w:r>
      <w:r w:rsidRPr="00D7773B">
        <w:t>Bulgaria</w:t>
      </w:r>
      <w:r w:rsidRPr="008E576F">
        <w:rPr>
          <w:lang w:val="ru-RU"/>
        </w:rPr>
        <w:t xml:space="preserve"> 2020 (</w:t>
      </w:r>
      <w:r w:rsidRPr="00D7773B">
        <w:rPr>
          <w:i/>
          <w:lang w:val="bg-BG"/>
        </w:rPr>
        <w:t>Национална програма за развитие: България 2020</w:t>
      </w:r>
      <w:r w:rsidRPr="008E576F">
        <w:rPr>
          <w:lang w:val="ru-RU"/>
        </w:rPr>
        <w:t xml:space="preserve">), 20 </w:t>
      </w:r>
      <w:r w:rsidRPr="00D7773B">
        <w:t>December</w:t>
      </w:r>
      <w:r w:rsidRPr="008E576F">
        <w:rPr>
          <w:lang w:val="ru-RU"/>
        </w:rPr>
        <w:t xml:space="preserve"> 2012, </w:t>
      </w:r>
      <w:hyperlink r:id="rId167" w:history="1">
        <w:r w:rsidRPr="00D7773B">
          <w:rPr>
            <w:rStyle w:val="Hyperlink"/>
          </w:rPr>
          <w:t>http</w:t>
        </w:r>
        <w:r w:rsidRPr="008E576F">
          <w:rPr>
            <w:rStyle w:val="Hyperlink"/>
            <w:lang w:val="ru-RU"/>
          </w:rPr>
          <w:t>://</w:t>
        </w:r>
        <w:r w:rsidRPr="00D7773B">
          <w:rPr>
            <w:rStyle w:val="Hyperlink"/>
          </w:rPr>
          <w:t>www</w:t>
        </w:r>
        <w:r w:rsidRPr="008E576F">
          <w:rPr>
            <w:rStyle w:val="Hyperlink"/>
            <w:lang w:val="ru-RU"/>
          </w:rPr>
          <w:t>.</w:t>
        </w:r>
        <w:r w:rsidRPr="00D7773B">
          <w:rPr>
            <w:rStyle w:val="Hyperlink"/>
          </w:rPr>
          <w:t>strategy</w:t>
        </w:r>
        <w:r w:rsidRPr="008E576F">
          <w:rPr>
            <w:rStyle w:val="Hyperlink"/>
            <w:lang w:val="ru-RU"/>
          </w:rPr>
          <w:t>.</w:t>
        </w:r>
        <w:r w:rsidRPr="00D7773B">
          <w:rPr>
            <w:rStyle w:val="Hyperlink"/>
          </w:rPr>
          <w:t>bg</w:t>
        </w:r>
        <w:r w:rsidRPr="008E576F">
          <w:rPr>
            <w:rStyle w:val="Hyperlink"/>
            <w:lang w:val="ru-RU"/>
          </w:rPr>
          <w:t>/</w:t>
        </w:r>
        <w:r w:rsidRPr="00D7773B">
          <w:rPr>
            <w:rStyle w:val="Hyperlink"/>
          </w:rPr>
          <w:t>StrategicDocuments</w:t>
        </w:r>
        <w:r w:rsidRPr="008E576F">
          <w:rPr>
            <w:rStyle w:val="Hyperlink"/>
            <w:lang w:val="ru-RU"/>
          </w:rPr>
          <w:t>/</w:t>
        </w:r>
        <w:r w:rsidRPr="00D7773B">
          <w:rPr>
            <w:rStyle w:val="Hyperlink"/>
          </w:rPr>
          <w:t>View</w:t>
        </w:r>
        <w:r w:rsidRPr="008E576F">
          <w:rPr>
            <w:rStyle w:val="Hyperlink"/>
            <w:lang w:val="ru-RU"/>
          </w:rPr>
          <w:t>.</w:t>
        </w:r>
        <w:r w:rsidRPr="00D7773B">
          <w:rPr>
            <w:rStyle w:val="Hyperlink"/>
          </w:rPr>
          <w:t>aspx</w:t>
        </w:r>
        <w:r w:rsidRPr="008E576F">
          <w:rPr>
            <w:rStyle w:val="Hyperlink"/>
            <w:lang w:val="ru-RU"/>
          </w:rPr>
          <w:t>?</w:t>
        </w:r>
        <w:r w:rsidRPr="00D7773B">
          <w:rPr>
            <w:rStyle w:val="Hyperlink"/>
          </w:rPr>
          <w:t>lang</w:t>
        </w:r>
        <w:r w:rsidRPr="008E576F">
          <w:rPr>
            <w:rStyle w:val="Hyperlink"/>
            <w:lang w:val="ru-RU"/>
          </w:rPr>
          <w:t>=</w:t>
        </w:r>
        <w:r w:rsidRPr="00D7773B">
          <w:rPr>
            <w:rStyle w:val="Hyperlink"/>
          </w:rPr>
          <w:t>bg</w:t>
        </w:r>
        <w:r w:rsidRPr="008E576F">
          <w:rPr>
            <w:rStyle w:val="Hyperlink"/>
            <w:lang w:val="ru-RU"/>
          </w:rPr>
          <w:t>-</w:t>
        </w:r>
        <w:r w:rsidRPr="00D7773B">
          <w:rPr>
            <w:rStyle w:val="Hyperlink"/>
          </w:rPr>
          <w:t>BG</w:t>
        </w:r>
        <w:r w:rsidRPr="008E576F">
          <w:rPr>
            <w:rStyle w:val="Hyperlink"/>
            <w:lang w:val="ru-RU"/>
          </w:rPr>
          <w:t>&amp;</w:t>
        </w:r>
        <w:r w:rsidRPr="00D7773B">
          <w:rPr>
            <w:rStyle w:val="Hyperlink"/>
          </w:rPr>
          <w:t>Id</w:t>
        </w:r>
        <w:r w:rsidRPr="008E576F">
          <w:rPr>
            <w:rStyle w:val="Hyperlink"/>
            <w:lang w:val="ru-RU"/>
          </w:rPr>
          <w:t>=765</w:t>
        </w:r>
      </w:hyperlink>
    </w:p>
  </w:footnote>
  <w:footnote w:id="173">
    <w:p w14:paraId="396507F2" w14:textId="410CBA2A" w:rsidR="00CD7B2E" w:rsidRPr="008E576F" w:rsidRDefault="00CD7B2E" w:rsidP="0077131A">
      <w:pPr>
        <w:pStyle w:val="FootnoteText"/>
        <w:rPr>
          <w:lang w:val="ru-RU"/>
        </w:rPr>
      </w:pPr>
      <w:r>
        <w:rPr>
          <w:rStyle w:val="FootnoteReference"/>
        </w:rPr>
        <w:footnoteRef/>
      </w:r>
      <w:r w:rsidRPr="008E576F">
        <w:rPr>
          <w:lang w:val="ru-RU"/>
        </w:rPr>
        <w:t xml:space="preserve"> </w:t>
      </w:r>
      <w:r w:rsidRPr="00D7773B">
        <w:t>Bulgaria</w:t>
      </w:r>
      <w:r w:rsidRPr="00D7773B">
        <w:rPr>
          <w:lang w:val="bg-BG"/>
        </w:rPr>
        <w:t xml:space="preserve">, </w:t>
      </w:r>
      <w:r w:rsidRPr="00D7773B">
        <w:t>Council</w:t>
      </w:r>
      <w:r w:rsidRPr="00D7773B">
        <w:rPr>
          <w:lang w:val="bg-BG"/>
        </w:rPr>
        <w:t xml:space="preserve"> </w:t>
      </w:r>
      <w:r w:rsidRPr="00D7773B">
        <w:t>of</w:t>
      </w:r>
      <w:r w:rsidRPr="00D7773B">
        <w:rPr>
          <w:lang w:val="bg-BG"/>
        </w:rPr>
        <w:t xml:space="preserve"> </w:t>
      </w:r>
      <w:r w:rsidRPr="00D7773B">
        <w:t>Ministers</w:t>
      </w:r>
      <w:r w:rsidRPr="00D7773B">
        <w:rPr>
          <w:lang w:val="bg-BG"/>
        </w:rPr>
        <w:t xml:space="preserve"> </w:t>
      </w:r>
      <w:r w:rsidRPr="00D7773B">
        <w:t>of</w:t>
      </w:r>
      <w:r w:rsidRPr="00D7773B">
        <w:rPr>
          <w:lang w:val="bg-BG"/>
        </w:rPr>
        <w:t xml:space="preserve"> </w:t>
      </w:r>
      <w:r w:rsidRPr="00D7773B">
        <w:t>Republic</w:t>
      </w:r>
      <w:r w:rsidRPr="00D7773B">
        <w:rPr>
          <w:lang w:val="bg-BG"/>
        </w:rPr>
        <w:t xml:space="preserve"> </w:t>
      </w:r>
      <w:r w:rsidRPr="00D7773B">
        <w:t>of</w:t>
      </w:r>
      <w:r w:rsidRPr="00D7773B">
        <w:rPr>
          <w:lang w:val="bg-BG"/>
        </w:rPr>
        <w:t xml:space="preserve"> </w:t>
      </w:r>
      <w:r w:rsidRPr="00D7773B">
        <w:t>Bulgaria</w:t>
      </w:r>
      <w:r w:rsidRPr="00D7773B">
        <w:rPr>
          <w:lang w:val="bg-BG"/>
        </w:rPr>
        <w:t xml:space="preserve"> (</w:t>
      </w:r>
      <w:r w:rsidRPr="00D7773B">
        <w:rPr>
          <w:i/>
          <w:lang w:val="bg-BG"/>
        </w:rPr>
        <w:t>Министерски съвет на Република България</w:t>
      </w:r>
      <w:r w:rsidRPr="00D7773B">
        <w:rPr>
          <w:lang w:val="bg-BG"/>
        </w:rPr>
        <w:t xml:space="preserve">), </w:t>
      </w:r>
      <w:r w:rsidRPr="00D7773B">
        <w:t>Updated</w:t>
      </w:r>
      <w:r w:rsidRPr="008E576F">
        <w:rPr>
          <w:lang w:val="ru-RU"/>
        </w:rPr>
        <w:t xml:space="preserve"> </w:t>
      </w:r>
      <w:r w:rsidRPr="00D7773B">
        <w:t>Employment</w:t>
      </w:r>
      <w:r w:rsidRPr="008E576F">
        <w:rPr>
          <w:lang w:val="ru-RU"/>
        </w:rPr>
        <w:t xml:space="preserve"> </w:t>
      </w:r>
      <w:r w:rsidRPr="00D7773B">
        <w:t>Strategy</w:t>
      </w:r>
      <w:r w:rsidRPr="008E576F">
        <w:rPr>
          <w:lang w:val="ru-RU"/>
        </w:rPr>
        <w:t xml:space="preserve"> </w:t>
      </w:r>
      <w:r w:rsidRPr="00D7773B">
        <w:t>of</w:t>
      </w:r>
      <w:r w:rsidRPr="008E576F">
        <w:rPr>
          <w:lang w:val="ru-RU"/>
        </w:rPr>
        <w:t xml:space="preserve"> </w:t>
      </w:r>
      <w:r w:rsidRPr="00D7773B">
        <w:t>the</w:t>
      </w:r>
      <w:r w:rsidRPr="008E576F">
        <w:rPr>
          <w:lang w:val="ru-RU"/>
        </w:rPr>
        <w:t xml:space="preserve"> </w:t>
      </w:r>
      <w:r w:rsidRPr="00D7773B">
        <w:t>Republic</w:t>
      </w:r>
      <w:r w:rsidRPr="008E576F">
        <w:rPr>
          <w:lang w:val="ru-RU"/>
        </w:rPr>
        <w:t xml:space="preserve"> </w:t>
      </w:r>
      <w:r w:rsidRPr="00D7773B">
        <w:t>of</w:t>
      </w:r>
      <w:r w:rsidRPr="008E576F">
        <w:rPr>
          <w:lang w:val="ru-RU"/>
        </w:rPr>
        <w:t xml:space="preserve"> </w:t>
      </w:r>
      <w:r w:rsidRPr="00D7773B">
        <w:t>Bulgaria</w:t>
      </w:r>
      <w:r w:rsidRPr="008E576F">
        <w:rPr>
          <w:lang w:val="ru-RU"/>
        </w:rPr>
        <w:t xml:space="preserve"> 2013-2020 </w:t>
      </w:r>
      <w:r w:rsidRPr="00D7773B">
        <w:rPr>
          <w:lang w:val="bg-BG"/>
        </w:rPr>
        <w:t>(</w:t>
      </w:r>
      <w:r w:rsidRPr="00D7773B">
        <w:rPr>
          <w:i/>
          <w:lang w:val="bg-BG"/>
        </w:rPr>
        <w:t>Актуализирана стратегия по заетостта на Република България 2013-2020 година</w:t>
      </w:r>
      <w:r w:rsidRPr="00D7773B">
        <w:rPr>
          <w:lang w:val="bg-BG"/>
        </w:rPr>
        <w:t xml:space="preserve">), 09 </w:t>
      </w:r>
      <w:r w:rsidRPr="00D7773B">
        <w:t>October</w:t>
      </w:r>
      <w:r w:rsidRPr="00D7773B">
        <w:rPr>
          <w:lang w:val="bg-BG"/>
        </w:rPr>
        <w:t xml:space="preserve"> 2013, </w:t>
      </w:r>
      <w:hyperlink r:id="rId168" w:history="1">
        <w:r w:rsidRPr="00D7773B">
          <w:rPr>
            <w:rStyle w:val="Hyperlink"/>
          </w:rPr>
          <w:t>https</w:t>
        </w:r>
        <w:r w:rsidRPr="00D7773B">
          <w:rPr>
            <w:rStyle w:val="Hyperlink"/>
            <w:lang w:val="bg-BG"/>
          </w:rPr>
          <w:t>://</w:t>
        </w:r>
        <w:r w:rsidRPr="00D7773B">
          <w:rPr>
            <w:rStyle w:val="Hyperlink"/>
          </w:rPr>
          <w:t>www</w:t>
        </w:r>
        <w:r w:rsidRPr="00D7773B">
          <w:rPr>
            <w:rStyle w:val="Hyperlink"/>
            <w:lang w:val="bg-BG"/>
          </w:rPr>
          <w:t>.</w:t>
        </w:r>
        <w:r w:rsidRPr="00D7773B">
          <w:rPr>
            <w:rStyle w:val="Hyperlink"/>
          </w:rPr>
          <w:t>strategy</w:t>
        </w:r>
        <w:r w:rsidRPr="00D7773B">
          <w:rPr>
            <w:rStyle w:val="Hyperlink"/>
            <w:lang w:val="bg-BG"/>
          </w:rPr>
          <w:t>.</w:t>
        </w:r>
        <w:r w:rsidRPr="00D7773B">
          <w:rPr>
            <w:rStyle w:val="Hyperlink"/>
          </w:rPr>
          <w:t>bg</w:t>
        </w:r>
        <w:r w:rsidRPr="00D7773B">
          <w:rPr>
            <w:rStyle w:val="Hyperlink"/>
            <w:lang w:val="bg-BG"/>
          </w:rPr>
          <w:t>/</w:t>
        </w:r>
        <w:r w:rsidRPr="00D7773B">
          <w:rPr>
            <w:rStyle w:val="Hyperlink"/>
          </w:rPr>
          <w:t>StrategicDocuments</w:t>
        </w:r>
        <w:r w:rsidRPr="00D7773B">
          <w:rPr>
            <w:rStyle w:val="Hyperlink"/>
            <w:lang w:val="bg-BG"/>
          </w:rPr>
          <w:t>/</w:t>
        </w:r>
        <w:r w:rsidRPr="00D7773B">
          <w:rPr>
            <w:rStyle w:val="Hyperlink"/>
          </w:rPr>
          <w:t>View</w:t>
        </w:r>
        <w:r w:rsidRPr="00D7773B">
          <w:rPr>
            <w:rStyle w:val="Hyperlink"/>
            <w:lang w:val="bg-BG"/>
          </w:rPr>
          <w:t>.</w:t>
        </w:r>
        <w:r w:rsidRPr="00D7773B">
          <w:rPr>
            <w:rStyle w:val="Hyperlink"/>
          </w:rPr>
          <w:t>aspx</w:t>
        </w:r>
        <w:r w:rsidRPr="00D7773B">
          <w:rPr>
            <w:rStyle w:val="Hyperlink"/>
            <w:lang w:val="bg-BG"/>
          </w:rPr>
          <w:t>?</w:t>
        </w:r>
        <w:r w:rsidRPr="00D7773B">
          <w:rPr>
            <w:rStyle w:val="Hyperlink"/>
          </w:rPr>
          <w:t>lang</w:t>
        </w:r>
        <w:r w:rsidRPr="00D7773B">
          <w:rPr>
            <w:rStyle w:val="Hyperlink"/>
            <w:lang w:val="bg-BG"/>
          </w:rPr>
          <w:t>=</w:t>
        </w:r>
        <w:r w:rsidRPr="00D7773B">
          <w:rPr>
            <w:rStyle w:val="Hyperlink"/>
          </w:rPr>
          <w:t>bg</w:t>
        </w:r>
        <w:r w:rsidRPr="00D7773B">
          <w:rPr>
            <w:rStyle w:val="Hyperlink"/>
            <w:lang w:val="bg-BG"/>
          </w:rPr>
          <w:t>-</w:t>
        </w:r>
        <w:r w:rsidRPr="00D7773B">
          <w:rPr>
            <w:rStyle w:val="Hyperlink"/>
          </w:rPr>
          <w:t>BG</w:t>
        </w:r>
        <w:r w:rsidRPr="00D7773B">
          <w:rPr>
            <w:rStyle w:val="Hyperlink"/>
            <w:lang w:val="bg-BG"/>
          </w:rPr>
          <w:t>&amp;</w:t>
        </w:r>
        <w:r w:rsidRPr="00D7773B">
          <w:rPr>
            <w:rStyle w:val="Hyperlink"/>
          </w:rPr>
          <w:t>Id</w:t>
        </w:r>
        <w:r w:rsidRPr="00D7773B">
          <w:rPr>
            <w:rStyle w:val="Hyperlink"/>
            <w:lang w:val="bg-BG"/>
          </w:rPr>
          <w:t>=858</w:t>
        </w:r>
      </w:hyperlink>
    </w:p>
  </w:footnote>
  <w:footnote w:id="174">
    <w:p w14:paraId="544439D6" w14:textId="34666431" w:rsidR="00CD7B2E" w:rsidRPr="00DB73C4" w:rsidRDefault="00CD7B2E" w:rsidP="0077131A">
      <w:pPr>
        <w:pStyle w:val="FootnoteText"/>
        <w:rPr>
          <w:lang w:val="bg-BG"/>
        </w:rPr>
      </w:pPr>
      <w:r>
        <w:rPr>
          <w:rStyle w:val="FootnoteReference"/>
        </w:rPr>
        <w:footnoteRef/>
      </w:r>
      <w:r>
        <w:t xml:space="preserve"> </w:t>
      </w:r>
      <w:r w:rsidRPr="00D7773B">
        <w:t>Bulgaria</w:t>
      </w:r>
      <w:r w:rsidRPr="00D7773B">
        <w:rPr>
          <w:lang w:val="bg-BG"/>
        </w:rPr>
        <w:t xml:space="preserve">, </w:t>
      </w:r>
      <w:r>
        <w:t>Ministry of Finance</w:t>
      </w:r>
      <w:r w:rsidRPr="00D7773B">
        <w:rPr>
          <w:lang w:val="bg-BG"/>
        </w:rPr>
        <w:t xml:space="preserve"> </w:t>
      </w:r>
      <w:r w:rsidRPr="00DB73C4">
        <w:rPr>
          <w:i/>
          <w:iCs/>
          <w:lang w:val="bg-BG"/>
        </w:rPr>
        <w:t>(Министерство на финансите)</w:t>
      </w:r>
      <w:r w:rsidRPr="00D7773B">
        <w:t>, Single National Strategy for improving the tax collection, tackling the shadow economy and reducing the compliance costs</w:t>
      </w:r>
      <w:r>
        <w:rPr>
          <w:lang w:val="bg-BG"/>
        </w:rPr>
        <w:t xml:space="preserve"> </w:t>
      </w:r>
      <w:r w:rsidRPr="00D7773B">
        <w:t xml:space="preserve">- 2015–2017, </w:t>
      </w:r>
      <w:hyperlink r:id="rId169" w:history="1">
        <w:r w:rsidRPr="003A5A7C">
          <w:rPr>
            <w:rStyle w:val="Hyperlink"/>
          </w:rPr>
          <w:t>https://www.minfin.bg/en/1297</w:t>
        </w:r>
      </w:hyperlink>
      <w:r>
        <w:rPr>
          <w:lang w:val="bg-BG"/>
        </w:rPr>
        <w:t xml:space="preserve"> </w:t>
      </w:r>
    </w:p>
  </w:footnote>
  <w:footnote w:id="175">
    <w:p w14:paraId="757C82EB" w14:textId="456C5DF5" w:rsidR="00CD7B2E" w:rsidRPr="00D7773B" w:rsidRDefault="00CD7B2E" w:rsidP="0077131A">
      <w:pPr>
        <w:pStyle w:val="FootnoteText"/>
        <w:rPr>
          <w:color w:val="000000" w:themeColor="text1"/>
        </w:rPr>
      </w:pPr>
      <w:r w:rsidRPr="00D7773B">
        <w:rPr>
          <w:rStyle w:val="FootnoteReference"/>
        </w:rPr>
        <w:footnoteRef/>
      </w:r>
      <w:r w:rsidRPr="00D7773B">
        <w:t xml:space="preserve"> Bulgaria, Council of Ministers of the Republic of Bulgaria </w:t>
      </w:r>
      <w:r w:rsidRPr="00D7773B">
        <w:rPr>
          <w:i/>
          <w:iCs/>
        </w:rPr>
        <w:t>(</w:t>
      </w:r>
      <w:r w:rsidRPr="00D7773B">
        <w:rPr>
          <w:i/>
          <w:iCs/>
          <w:lang w:val="bg-BG"/>
        </w:rPr>
        <w:t>Министерски съвет на Република България</w:t>
      </w:r>
      <w:r w:rsidRPr="00D7773B">
        <w:rPr>
          <w:i/>
          <w:iCs/>
        </w:rPr>
        <w:t>)</w:t>
      </w:r>
      <w:r w:rsidRPr="00D7773B">
        <w:rPr>
          <w:lang w:val="bg-BG"/>
        </w:rPr>
        <w:t xml:space="preserve"> </w:t>
      </w:r>
      <w:r w:rsidRPr="00D7773B">
        <w:rPr>
          <w:bCs/>
        </w:rPr>
        <w:t xml:space="preserve">(2013), </w:t>
      </w:r>
      <w:r w:rsidRPr="00D7773B">
        <w:t xml:space="preserve">National strategy for reducing poverty and promoting social inclusion 2020, 6 February 2013, </w:t>
      </w:r>
      <w:hyperlink r:id="rId170" w:history="1">
        <w:r w:rsidRPr="00D7773B">
          <w:rPr>
            <w:rStyle w:val="Hyperlink"/>
          </w:rPr>
          <w:t>https://www.strategy.bg/StrategicDocuments/View.aspx?lang=bg-BG&amp;Id=790</w:t>
        </w:r>
      </w:hyperlink>
      <w:r w:rsidRPr="00D7773B">
        <w:rPr>
          <w:rStyle w:val="Hyperlink"/>
          <w:color w:val="000000" w:themeColor="text1"/>
          <w:u w:val="none"/>
        </w:rPr>
        <w:t xml:space="preserve">. </w:t>
      </w:r>
    </w:p>
  </w:footnote>
  <w:footnote w:id="176">
    <w:p w14:paraId="13BE9DBB" w14:textId="77777777" w:rsidR="00CD7B2E" w:rsidRPr="008F36A7" w:rsidRDefault="00CD7B2E" w:rsidP="0077131A">
      <w:pPr>
        <w:pStyle w:val="FootnoteText"/>
      </w:pPr>
      <w:r>
        <w:rPr>
          <w:rStyle w:val="FootnoteReference"/>
        </w:rPr>
        <w:footnoteRef/>
      </w:r>
      <w:r>
        <w:t xml:space="preserve"> </w:t>
      </w:r>
      <w:r w:rsidRPr="00D7773B">
        <w:t>Bulgaria, Council of Ministers of Republic of Bulgaria (</w:t>
      </w:r>
      <w:r w:rsidRPr="00D7773B">
        <w:rPr>
          <w:i/>
          <w:lang w:val="bg-BG"/>
        </w:rPr>
        <w:t>Министерски съвет на Република България</w:t>
      </w:r>
      <w:r w:rsidRPr="00D7773B">
        <w:t>), National Employment Action Plan for 2019 (</w:t>
      </w:r>
      <w:r w:rsidRPr="00D7773B">
        <w:rPr>
          <w:i/>
          <w:lang w:val="bg-BG"/>
        </w:rPr>
        <w:t>Национален план за действие по заетостта през 2019г.</w:t>
      </w:r>
      <w:r w:rsidRPr="00D7773B">
        <w:t xml:space="preserve">), </w:t>
      </w:r>
      <w:r w:rsidRPr="00D7773B">
        <w:rPr>
          <w:lang w:val="bg-BG"/>
        </w:rPr>
        <w:t xml:space="preserve">18 January 2019, </w:t>
      </w:r>
      <w:hyperlink r:id="rId171" w:history="1">
        <w:r w:rsidRPr="00D7773B">
          <w:rPr>
            <w:rStyle w:val="Hyperlink"/>
          </w:rPr>
          <w:t>https://www.mlsp.government.bg/index.php?section=POLICIESI&amp;I=249</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753B1"/>
    <w:multiLevelType w:val="hybridMultilevel"/>
    <w:tmpl w:val="A216C528"/>
    <w:lvl w:ilvl="0" w:tplc="E786A48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6731AA2"/>
    <w:multiLevelType w:val="hybridMultilevel"/>
    <w:tmpl w:val="F4F2A0C0"/>
    <w:lvl w:ilvl="0" w:tplc="AD1EE0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A406DE"/>
    <w:multiLevelType w:val="hybridMultilevel"/>
    <w:tmpl w:val="A150E872"/>
    <w:lvl w:ilvl="0" w:tplc="AD1EE0CC">
      <w:start w:val="1"/>
      <w:numFmt w:val="decimal"/>
      <w:lvlText w:val="%1."/>
      <w:lvlJc w:val="left"/>
      <w:pPr>
        <w:ind w:left="720" w:hanging="360"/>
      </w:pPr>
      <w:rPr>
        <w:b/>
      </w:rPr>
    </w:lvl>
    <w:lvl w:ilvl="1" w:tplc="18090019">
      <w:start w:val="1"/>
      <w:numFmt w:val="lowerLetter"/>
      <w:lvlText w:val="%2."/>
      <w:lvlJc w:val="left"/>
      <w:pPr>
        <w:ind w:left="1495"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2D304A15"/>
    <w:multiLevelType w:val="multilevel"/>
    <w:tmpl w:val="93DA9C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4AC6ACB"/>
    <w:multiLevelType w:val="hybridMultilevel"/>
    <w:tmpl w:val="231C3DC6"/>
    <w:lvl w:ilvl="0" w:tplc="0FF6B946">
      <w:start w:val="1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2260C"/>
    <w:multiLevelType w:val="hybridMultilevel"/>
    <w:tmpl w:val="C4C69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5302FF"/>
    <w:multiLevelType w:val="multilevel"/>
    <w:tmpl w:val="18090023"/>
    <w:lvl w:ilvl="0">
      <w:start w:val="1"/>
      <w:numFmt w:val="upperRoman"/>
      <w:pStyle w:val="Heading1"/>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496A2474"/>
    <w:multiLevelType w:val="hybridMultilevel"/>
    <w:tmpl w:val="B6A2E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8448D9"/>
    <w:multiLevelType w:val="multilevel"/>
    <w:tmpl w:val="3ED4B4EE"/>
    <w:styleLink w:val="FRAHeadings"/>
    <w:lvl w:ilvl="0">
      <w:start w:val="1"/>
      <w:numFmt w:val="decimal"/>
      <w:pStyle w:val="FRAHeading1"/>
      <w:lvlText w:val="%1"/>
      <w:lvlJc w:val="left"/>
      <w:pPr>
        <w:ind w:left="907" w:hanging="907"/>
      </w:pPr>
      <w:rPr>
        <w:rFonts w:hint="default"/>
      </w:rPr>
    </w:lvl>
    <w:lvl w:ilvl="1">
      <w:start w:val="1"/>
      <w:numFmt w:val="decimal"/>
      <w:pStyle w:val="FRAHeading2"/>
      <w:lvlText w:val="%1.%2"/>
      <w:lvlJc w:val="left"/>
      <w:pPr>
        <w:ind w:left="907" w:hanging="907"/>
      </w:pPr>
      <w:rPr>
        <w:rFonts w:hint="default"/>
      </w:rPr>
    </w:lvl>
    <w:lvl w:ilvl="2">
      <w:start w:val="1"/>
      <w:numFmt w:val="decimal"/>
      <w:pStyle w:val="FRAHeading3"/>
      <w:lvlText w:val="%1.%2.%3"/>
      <w:lvlJc w:val="left"/>
      <w:pPr>
        <w:ind w:left="907" w:hanging="907"/>
      </w:pPr>
      <w:rPr>
        <w:rFonts w:hint="default"/>
      </w:rPr>
    </w:lvl>
    <w:lvl w:ilvl="3">
      <w:start w:val="1"/>
      <w:numFmt w:val="none"/>
      <w:pStyle w:val="FRAHeading4Unnumbered"/>
      <w:lvlText w:val=""/>
      <w:lvlJc w:val="left"/>
      <w:pPr>
        <w:ind w:left="907" w:hanging="907"/>
      </w:pPr>
      <w:rPr>
        <w:rFonts w:hint="default"/>
      </w:rPr>
    </w:lvl>
    <w:lvl w:ilvl="4">
      <w:start w:val="1"/>
      <w:numFmt w:val="decimal"/>
      <w:pStyle w:val="FRAListNumbered"/>
      <w:lvlText w:val="%5."/>
      <w:lvlJc w:val="left"/>
      <w:pPr>
        <w:ind w:left="284" w:firstLine="0"/>
      </w:pPr>
      <w:rPr>
        <w:rFonts w:hint="default"/>
      </w:rPr>
    </w:lvl>
    <w:lvl w:ilvl="5">
      <w:start w:val="1"/>
      <w:numFmt w:val="bullet"/>
      <w:lvlRestart w:val="0"/>
      <w:pStyle w:val="FRAListBullet"/>
      <w:lvlText w:val=""/>
      <w:lvlJc w:val="left"/>
      <w:pPr>
        <w:ind w:left="284" w:firstLine="0"/>
      </w:pPr>
      <w:rPr>
        <w:rFonts w:ascii="Symbol" w:hAnsi="Symbol" w:hint="default"/>
        <w:color w:val="auto"/>
      </w:rPr>
    </w:lvl>
    <w:lvl w:ilvl="6">
      <w:start w:val="1"/>
      <w:numFmt w:val="none"/>
      <w:lvlText w:val="%7."/>
      <w:lvlJc w:val="left"/>
      <w:pPr>
        <w:ind w:left="907" w:hanging="907"/>
      </w:pPr>
      <w:rPr>
        <w:rFonts w:hint="default"/>
      </w:rPr>
    </w:lvl>
    <w:lvl w:ilvl="7">
      <w:start w:val="1"/>
      <w:numFmt w:val="none"/>
      <w:lvlText w:val="%8."/>
      <w:lvlJc w:val="left"/>
      <w:pPr>
        <w:ind w:left="907" w:hanging="907"/>
      </w:pPr>
      <w:rPr>
        <w:rFonts w:hint="default"/>
      </w:rPr>
    </w:lvl>
    <w:lvl w:ilvl="8">
      <w:start w:val="1"/>
      <w:numFmt w:val="none"/>
      <w:lvlText w:val="%9."/>
      <w:lvlJc w:val="right"/>
      <w:pPr>
        <w:ind w:left="907" w:hanging="907"/>
      </w:pPr>
      <w:rPr>
        <w:rFonts w:hint="default"/>
      </w:rPr>
    </w:lvl>
  </w:abstractNum>
  <w:abstractNum w:abstractNumId="9" w15:restartNumberingAfterBreak="0">
    <w:nsid w:val="783A1D12"/>
    <w:multiLevelType w:val="hybridMultilevel"/>
    <w:tmpl w:val="CE5E9294"/>
    <w:lvl w:ilvl="0" w:tplc="AD1EE0CC">
      <w:start w:val="1"/>
      <w:numFmt w:val="decimal"/>
      <w:lvlText w:val="%1."/>
      <w:lvlJc w:val="left"/>
      <w:pPr>
        <w:ind w:left="720" w:hanging="360"/>
      </w:pPr>
      <w:rPr>
        <w:b/>
      </w:rPr>
    </w:lvl>
    <w:lvl w:ilvl="1" w:tplc="18090019">
      <w:start w:val="1"/>
      <w:numFmt w:val="lowerLetter"/>
      <w:lvlText w:val="%2."/>
      <w:lvlJc w:val="left"/>
      <w:pPr>
        <w:ind w:left="1495"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9"/>
  </w:num>
  <w:num w:numId="5">
    <w:abstractNumId w:val="5"/>
  </w:num>
  <w:num w:numId="6">
    <w:abstractNumId w:val="1"/>
  </w:num>
  <w:num w:numId="7">
    <w:abstractNumId w:val="0"/>
  </w:num>
  <w:num w:numId="8">
    <w:abstractNumId w:val="4"/>
  </w:num>
  <w:num w:numId="9">
    <w:abstractNumId w:val="7"/>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hideGrammaticalErrors/>
  <w:linkStyle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EEA"/>
    <w:rsid w:val="000016C6"/>
    <w:rsid w:val="00001C65"/>
    <w:rsid w:val="00002EDA"/>
    <w:rsid w:val="0000376C"/>
    <w:rsid w:val="0000394F"/>
    <w:rsid w:val="00003C21"/>
    <w:rsid w:val="00003FE9"/>
    <w:rsid w:val="000044D2"/>
    <w:rsid w:val="00004BB6"/>
    <w:rsid w:val="000057F7"/>
    <w:rsid w:val="00005E81"/>
    <w:rsid w:val="00005E8E"/>
    <w:rsid w:val="00006278"/>
    <w:rsid w:val="00006D0F"/>
    <w:rsid w:val="00007E4E"/>
    <w:rsid w:val="00012154"/>
    <w:rsid w:val="00012492"/>
    <w:rsid w:val="00012878"/>
    <w:rsid w:val="00012B95"/>
    <w:rsid w:val="00013BBD"/>
    <w:rsid w:val="000158B4"/>
    <w:rsid w:val="00016A58"/>
    <w:rsid w:val="000203AF"/>
    <w:rsid w:val="000229A2"/>
    <w:rsid w:val="00022F67"/>
    <w:rsid w:val="00023694"/>
    <w:rsid w:val="00023CE1"/>
    <w:rsid w:val="00023E7E"/>
    <w:rsid w:val="0002491F"/>
    <w:rsid w:val="00024A4D"/>
    <w:rsid w:val="00025178"/>
    <w:rsid w:val="00025EC9"/>
    <w:rsid w:val="000261D1"/>
    <w:rsid w:val="00026727"/>
    <w:rsid w:val="00026BF8"/>
    <w:rsid w:val="000270EB"/>
    <w:rsid w:val="00027C22"/>
    <w:rsid w:val="00030021"/>
    <w:rsid w:val="000308FB"/>
    <w:rsid w:val="00030F61"/>
    <w:rsid w:val="00031339"/>
    <w:rsid w:val="00031AD6"/>
    <w:rsid w:val="000322CA"/>
    <w:rsid w:val="00032445"/>
    <w:rsid w:val="0003357A"/>
    <w:rsid w:val="00033731"/>
    <w:rsid w:val="000337D1"/>
    <w:rsid w:val="000338C2"/>
    <w:rsid w:val="00033902"/>
    <w:rsid w:val="00033F21"/>
    <w:rsid w:val="000345F8"/>
    <w:rsid w:val="00034C52"/>
    <w:rsid w:val="0003719C"/>
    <w:rsid w:val="000375B6"/>
    <w:rsid w:val="00037A65"/>
    <w:rsid w:val="00040191"/>
    <w:rsid w:val="00041794"/>
    <w:rsid w:val="000422EE"/>
    <w:rsid w:val="000428A4"/>
    <w:rsid w:val="0004307B"/>
    <w:rsid w:val="00043841"/>
    <w:rsid w:val="0004476A"/>
    <w:rsid w:val="00045052"/>
    <w:rsid w:val="000461E8"/>
    <w:rsid w:val="0005297E"/>
    <w:rsid w:val="00052A71"/>
    <w:rsid w:val="00053D4E"/>
    <w:rsid w:val="00056CE8"/>
    <w:rsid w:val="00057851"/>
    <w:rsid w:val="00057D2E"/>
    <w:rsid w:val="00057F8B"/>
    <w:rsid w:val="000600D9"/>
    <w:rsid w:val="00060559"/>
    <w:rsid w:val="000607AD"/>
    <w:rsid w:val="00060DB1"/>
    <w:rsid w:val="00061599"/>
    <w:rsid w:val="0006168F"/>
    <w:rsid w:val="000618D8"/>
    <w:rsid w:val="000640C7"/>
    <w:rsid w:val="000644A2"/>
    <w:rsid w:val="00064894"/>
    <w:rsid w:val="000651BC"/>
    <w:rsid w:val="00066E02"/>
    <w:rsid w:val="00067201"/>
    <w:rsid w:val="000707A7"/>
    <w:rsid w:val="00070C63"/>
    <w:rsid w:val="00071239"/>
    <w:rsid w:val="00071730"/>
    <w:rsid w:val="00071DE1"/>
    <w:rsid w:val="00072BEF"/>
    <w:rsid w:val="00072DF6"/>
    <w:rsid w:val="00072F39"/>
    <w:rsid w:val="00073606"/>
    <w:rsid w:val="00074DE9"/>
    <w:rsid w:val="0007580B"/>
    <w:rsid w:val="00075E89"/>
    <w:rsid w:val="00077041"/>
    <w:rsid w:val="00077336"/>
    <w:rsid w:val="00077FDB"/>
    <w:rsid w:val="00080313"/>
    <w:rsid w:val="00081090"/>
    <w:rsid w:val="00081876"/>
    <w:rsid w:val="0008203C"/>
    <w:rsid w:val="00082062"/>
    <w:rsid w:val="00082262"/>
    <w:rsid w:val="0008316D"/>
    <w:rsid w:val="00083622"/>
    <w:rsid w:val="00084619"/>
    <w:rsid w:val="000848D3"/>
    <w:rsid w:val="00086073"/>
    <w:rsid w:val="00086100"/>
    <w:rsid w:val="00086379"/>
    <w:rsid w:val="00086579"/>
    <w:rsid w:val="00086EF9"/>
    <w:rsid w:val="00087D21"/>
    <w:rsid w:val="00090C53"/>
    <w:rsid w:val="00091340"/>
    <w:rsid w:val="00091C59"/>
    <w:rsid w:val="00091D07"/>
    <w:rsid w:val="000924B1"/>
    <w:rsid w:val="00092592"/>
    <w:rsid w:val="00092779"/>
    <w:rsid w:val="00092BEB"/>
    <w:rsid w:val="00092E82"/>
    <w:rsid w:val="00093376"/>
    <w:rsid w:val="0009354A"/>
    <w:rsid w:val="00093896"/>
    <w:rsid w:val="00093985"/>
    <w:rsid w:val="00093B06"/>
    <w:rsid w:val="00093B08"/>
    <w:rsid w:val="00094AFE"/>
    <w:rsid w:val="00094C27"/>
    <w:rsid w:val="00094D3C"/>
    <w:rsid w:val="00095EBA"/>
    <w:rsid w:val="00096187"/>
    <w:rsid w:val="00096C9E"/>
    <w:rsid w:val="00097B37"/>
    <w:rsid w:val="000A0F32"/>
    <w:rsid w:val="000A1320"/>
    <w:rsid w:val="000A1E24"/>
    <w:rsid w:val="000A2E2A"/>
    <w:rsid w:val="000A7316"/>
    <w:rsid w:val="000A7AC2"/>
    <w:rsid w:val="000B0030"/>
    <w:rsid w:val="000B2213"/>
    <w:rsid w:val="000B3BFC"/>
    <w:rsid w:val="000B4711"/>
    <w:rsid w:val="000B4B7C"/>
    <w:rsid w:val="000B5281"/>
    <w:rsid w:val="000B58F8"/>
    <w:rsid w:val="000B6353"/>
    <w:rsid w:val="000B685A"/>
    <w:rsid w:val="000B6DDF"/>
    <w:rsid w:val="000B76A1"/>
    <w:rsid w:val="000C0546"/>
    <w:rsid w:val="000C0855"/>
    <w:rsid w:val="000C0AAD"/>
    <w:rsid w:val="000C2BCD"/>
    <w:rsid w:val="000C2C3F"/>
    <w:rsid w:val="000C3601"/>
    <w:rsid w:val="000C3AD3"/>
    <w:rsid w:val="000C4CA2"/>
    <w:rsid w:val="000C4EB3"/>
    <w:rsid w:val="000C6331"/>
    <w:rsid w:val="000C65A9"/>
    <w:rsid w:val="000C6EE9"/>
    <w:rsid w:val="000C7D60"/>
    <w:rsid w:val="000D1215"/>
    <w:rsid w:val="000D217E"/>
    <w:rsid w:val="000D230F"/>
    <w:rsid w:val="000D3676"/>
    <w:rsid w:val="000D4ECA"/>
    <w:rsid w:val="000D51BB"/>
    <w:rsid w:val="000D6BD0"/>
    <w:rsid w:val="000D6BF6"/>
    <w:rsid w:val="000D6E85"/>
    <w:rsid w:val="000D778A"/>
    <w:rsid w:val="000E0872"/>
    <w:rsid w:val="000E0DA8"/>
    <w:rsid w:val="000E130B"/>
    <w:rsid w:val="000E194D"/>
    <w:rsid w:val="000E2BA2"/>
    <w:rsid w:val="000E4AE2"/>
    <w:rsid w:val="000E51D5"/>
    <w:rsid w:val="000E535A"/>
    <w:rsid w:val="000E5474"/>
    <w:rsid w:val="000E55E8"/>
    <w:rsid w:val="000E5D3F"/>
    <w:rsid w:val="000E6466"/>
    <w:rsid w:val="000E6DAB"/>
    <w:rsid w:val="000F0F99"/>
    <w:rsid w:val="000F2A66"/>
    <w:rsid w:val="000F52BA"/>
    <w:rsid w:val="000F5507"/>
    <w:rsid w:val="000F566D"/>
    <w:rsid w:val="000F6733"/>
    <w:rsid w:val="000F798E"/>
    <w:rsid w:val="00102A3B"/>
    <w:rsid w:val="00103EEA"/>
    <w:rsid w:val="001043D9"/>
    <w:rsid w:val="00104597"/>
    <w:rsid w:val="00104AD5"/>
    <w:rsid w:val="00104F05"/>
    <w:rsid w:val="00105131"/>
    <w:rsid w:val="001051A5"/>
    <w:rsid w:val="00105DD4"/>
    <w:rsid w:val="00106FA8"/>
    <w:rsid w:val="00107CA3"/>
    <w:rsid w:val="00110C49"/>
    <w:rsid w:val="00110D67"/>
    <w:rsid w:val="00111529"/>
    <w:rsid w:val="0011174F"/>
    <w:rsid w:val="00111F60"/>
    <w:rsid w:val="0011318B"/>
    <w:rsid w:val="00114247"/>
    <w:rsid w:val="00115445"/>
    <w:rsid w:val="001154C7"/>
    <w:rsid w:val="00115757"/>
    <w:rsid w:val="00115BD1"/>
    <w:rsid w:val="00116021"/>
    <w:rsid w:val="00116BEC"/>
    <w:rsid w:val="00117017"/>
    <w:rsid w:val="00117265"/>
    <w:rsid w:val="00117308"/>
    <w:rsid w:val="0011738D"/>
    <w:rsid w:val="00117D62"/>
    <w:rsid w:val="00120122"/>
    <w:rsid w:val="00120BC8"/>
    <w:rsid w:val="00121C10"/>
    <w:rsid w:val="00121E1C"/>
    <w:rsid w:val="001228B4"/>
    <w:rsid w:val="00123534"/>
    <w:rsid w:val="00124A5F"/>
    <w:rsid w:val="00124B0C"/>
    <w:rsid w:val="00127667"/>
    <w:rsid w:val="001277B3"/>
    <w:rsid w:val="00127953"/>
    <w:rsid w:val="00127AE2"/>
    <w:rsid w:val="00130204"/>
    <w:rsid w:val="00130F46"/>
    <w:rsid w:val="00131265"/>
    <w:rsid w:val="00131F13"/>
    <w:rsid w:val="0013230E"/>
    <w:rsid w:val="001324E0"/>
    <w:rsid w:val="00132702"/>
    <w:rsid w:val="00132FD7"/>
    <w:rsid w:val="0013368B"/>
    <w:rsid w:val="0013495E"/>
    <w:rsid w:val="00134CB9"/>
    <w:rsid w:val="00135082"/>
    <w:rsid w:val="00140362"/>
    <w:rsid w:val="001407AE"/>
    <w:rsid w:val="00140D67"/>
    <w:rsid w:val="00142AAD"/>
    <w:rsid w:val="001435FC"/>
    <w:rsid w:val="00143ED8"/>
    <w:rsid w:val="0014509A"/>
    <w:rsid w:val="00145972"/>
    <w:rsid w:val="00146472"/>
    <w:rsid w:val="00147305"/>
    <w:rsid w:val="001479C9"/>
    <w:rsid w:val="001500F4"/>
    <w:rsid w:val="0015050B"/>
    <w:rsid w:val="00150834"/>
    <w:rsid w:val="001511F1"/>
    <w:rsid w:val="00151573"/>
    <w:rsid w:val="0015315A"/>
    <w:rsid w:val="00153571"/>
    <w:rsid w:val="0015384C"/>
    <w:rsid w:val="0015507D"/>
    <w:rsid w:val="00156156"/>
    <w:rsid w:val="001565E3"/>
    <w:rsid w:val="00157A7E"/>
    <w:rsid w:val="00157C83"/>
    <w:rsid w:val="00160939"/>
    <w:rsid w:val="001616D4"/>
    <w:rsid w:val="00161AB6"/>
    <w:rsid w:val="00162B32"/>
    <w:rsid w:val="00162FCD"/>
    <w:rsid w:val="00163F9E"/>
    <w:rsid w:val="001651AD"/>
    <w:rsid w:val="0016577F"/>
    <w:rsid w:val="00166894"/>
    <w:rsid w:val="00170E0D"/>
    <w:rsid w:val="0017127B"/>
    <w:rsid w:val="0017147D"/>
    <w:rsid w:val="001719FC"/>
    <w:rsid w:val="00172C73"/>
    <w:rsid w:val="00173056"/>
    <w:rsid w:val="00173B36"/>
    <w:rsid w:val="00174197"/>
    <w:rsid w:val="00174498"/>
    <w:rsid w:val="00174DE5"/>
    <w:rsid w:val="001751D0"/>
    <w:rsid w:val="00175A7B"/>
    <w:rsid w:val="00175FA6"/>
    <w:rsid w:val="001760CE"/>
    <w:rsid w:val="00180C3A"/>
    <w:rsid w:val="00181402"/>
    <w:rsid w:val="00182E1F"/>
    <w:rsid w:val="00184F60"/>
    <w:rsid w:val="00185288"/>
    <w:rsid w:val="00185DD9"/>
    <w:rsid w:val="00186A41"/>
    <w:rsid w:val="001872B6"/>
    <w:rsid w:val="00187EFF"/>
    <w:rsid w:val="00190247"/>
    <w:rsid w:val="00191B89"/>
    <w:rsid w:val="00191BC5"/>
    <w:rsid w:val="00191CE5"/>
    <w:rsid w:val="0019222A"/>
    <w:rsid w:val="00194EA7"/>
    <w:rsid w:val="00194EAF"/>
    <w:rsid w:val="00195253"/>
    <w:rsid w:val="0019561F"/>
    <w:rsid w:val="001959D3"/>
    <w:rsid w:val="00195F65"/>
    <w:rsid w:val="00196FDE"/>
    <w:rsid w:val="00197701"/>
    <w:rsid w:val="001A0D6D"/>
    <w:rsid w:val="001A14D4"/>
    <w:rsid w:val="001A2936"/>
    <w:rsid w:val="001A2F31"/>
    <w:rsid w:val="001A3599"/>
    <w:rsid w:val="001A3A0D"/>
    <w:rsid w:val="001A3A57"/>
    <w:rsid w:val="001A4E9F"/>
    <w:rsid w:val="001A56EF"/>
    <w:rsid w:val="001A5DDD"/>
    <w:rsid w:val="001A6CE1"/>
    <w:rsid w:val="001A70FA"/>
    <w:rsid w:val="001B04A0"/>
    <w:rsid w:val="001B1A9A"/>
    <w:rsid w:val="001B1B22"/>
    <w:rsid w:val="001B1C74"/>
    <w:rsid w:val="001B2607"/>
    <w:rsid w:val="001B2AF0"/>
    <w:rsid w:val="001B2CC1"/>
    <w:rsid w:val="001B3775"/>
    <w:rsid w:val="001B4559"/>
    <w:rsid w:val="001B4F60"/>
    <w:rsid w:val="001B51C4"/>
    <w:rsid w:val="001B59A6"/>
    <w:rsid w:val="001C015F"/>
    <w:rsid w:val="001C058A"/>
    <w:rsid w:val="001C0CBA"/>
    <w:rsid w:val="001C0D17"/>
    <w:rsid w:val="001C138F"/>
    <w:rsid w:val="001C147E"/>
    <w:rsid w:val="001C14E5"/>
    <w:rsid w:val="001C2931"/>
    <w:rsid w:val="001C2E06"/>
    <w:rsid w:val="001C398A"/>
    <w:rsid w:val="001C3C25"/>
    <w:rsid w:val="001C4374"/>
    <w:rsid w:val="001C4C86"/>
    <w:rsid w:val="001C4D12"/>
    <w:rsid w:val="001C6CA2"/>
    <w:rsid w:val="001C6D68"/>
    <w:rsid w:val="001C78D0"/>
    <w:rsid w:val="001D0093"/>
    <w:rsid w:val="001D0661"/>
    <w:rsid w:val="001D0DAF"/>
    <w:rsid w:val="001D0EBF"/>
    <w:rsid w:val="001D1165"/>
    <w:rsid w:val="001D162E"/>
    <w:rsid w:val="001D217F"/>
    <w:rsid w:val="001D21AE"/>
    <w:rsid w:val="001D2244"/>
    <w:rsid w:val="001D2EAF"/>
    <w:rsid w:val="001D3911"/>
    <w:rsid w:val="001D3E1A"/>
    <w:rsid w:val="001D4737"/>
    <w:rsid w:val="001D5147"/>
    <w:rsid w:val="001D56A4"/>
    <w:rsid w:val="001D5B27"/>
    <w:rsid w:val="001D74D7"/>
    <w:rsid w:val="001E04CE"/>
    <w:rsid w:val="001E0C5B"/>
    <w:rsid w:val="001E101D"/>
    <w:rsid w:val="001E101F"/>
    <w:rsid w:val="001E12E4"/>
    <w:rsid w:val="001E1860"/>
    <w:rsid w:val="001E1BFA"/>
    <w:rsid w:val="001E1D0B"/>
    <w:rsid w:val="001E2135"/>
    <w:rsid w:val="001E2BD4"/>
    <w:rsid w:val="001E341D"/>
    <w:rsid w:val="001E35DF"/>
    <w:rsid w:val="001E37D6"/>
    <w:rsid w:val="001E564A"/>
    <w:rsid w:val="001E56FE"/>
    <w:rsid w:val="001E6F63"/>
    <w:rsid w:val="001E715F"/>
    <w:rsid w:val="001E7203"/>
    <w:rsid w:val="001F2CD3"/>
    <w:rsid w:val="001F42C9"/>
    <w:rsid w:val="001F4B7B"/>
    <w:rsid w:val="001F5EF0"/>
    <w:rsid w:val="001F7138"/>
    <w:rsid w:val="001F7DF3"/>
    <w:rsid w:val="0020017B"/>
    <w:rsid w:val="002004A9"/>
    <w:rsid w:val="002004FB"/>
    <w:rsid w:val="00200579"/>
    <w:rsid w:val="00200C0F"/>
    <w:rsid w:val="00200F64"/>
    <w:rsid w:val="002013EA"/>
    <w:rsid w:val="00202698"/>
    <w:rsid w:val="002044B3"/>
    <w:rsid w:val="002048E6"/>
    <w:rsid w:val="002049D5"/>
    <w:rsid w:val="00204DA7"/>
    <w:rsid w:val="00205D64"/>
    <w:rsid w:val="0020767C"/>
    <w:rsid w:val="0020776B"/>
    <w:rsid w:val="00207A12"/>
    <w:rsid w:val="002106B3"/>
    <w:rsid w:val="002115BF"/>
    <w:rsid w:val="00212671"/>
    <w:rsid w:val="00212BA2"/>
    <w:rsid w:val="00212FFD"/>
    <w:rsid w:val="002133E4"/>
    <w:rsid w:val="00213957"/>
    <w:rsid w:val="002148B1"/>
    <w:rsid w:val="0021566F"/>
    <w:rsid w:val="00215A76"/>
    <w:rsid w:val="00215AD9"/>
    <w:rsid w:val="00215EC7"/>
    <w:rsid w:val="002168BB"/>
    <w:rsid w:val="00216CC5"/>
    <w:rsid w:val="00216D71"/>
    <w:rsid w:val="00216DE6"/>
    <w:rsid w:val="00216F19"/>
    <w:rsid w:val="002171F7"/>
    <w:rsid w:val="00217467"/>
    <w:rsid w:val="00217DD4"/>
    <w:rsid w:val="002203F4"/>
    <w:rsid w:val="00220AE4"/>
    <w:rsid w:val="002210AC"/>
    <w:rsid w:val="00221D87"/>
    <w:rsid w:val="00223CCA"/>
    <w:rsid w:val="002241A0"/>
    <w:rsid w:val="00224E36"/>
    <w:rsid w:val="0022673B"/>
    <w:rsid w:val="0022724C"/>
    <w:rsid w:val="002278DA"/>
    <w:rsid w:val="00227996"/>
    <w:rsid w:val="002300B9"/>
    <w:rsid w:val="0023024A"/>
    <w:rsid w:val="00230747"/>
    <w:rsid w:val="00230C12"/>
    <w:rsid w:val="0023154F"/>
    <w:rsid w:val="00232DE2"/>
    <w:rsid w:val="00233812"/>
    <w:rsid w:val="00233835"/>
    <w:rsid w:val="00233933"/>
    <w:rsid w:val="00234305"/>
    <w:rsid w:val="002346FF"/>
    <w:rsid w:val="00234A17"/>
    <w:rsid w:val="00235453"/>
    <w:rsid w:val="002400CB"/>
    <w:rsid w:val="00240B1D"/>
    <w:rsid w:val="00240F92"/>
    <w:rsid w:val="0024207A"/>
    <w:rsid w:val="00242729"/>
    <w:rsid w:val="00243003"/>
    <w:rsid w:val="002436EB"/>
    <w:rsid w:val="00243CFA"/>
    <w:rsid w:val="00243D38"/>
    <w:rsid w:val="00243DB9"/>
    <w:rsid w:val="00243F57"/>
    <w:rsid w:val="002453F0"/>
    <w:rsid w:val="0024781D"/>
    <w:rsid w:val="00247AF3"/>
    <w:rsid w:val="002504F0"/>
    <w:rsid w:val="00250B4E"/>
    <w:rsid w:val="00250D62"/>
    <w:rsid w:val="0025214F"/>
    <w:rsid w:val="002537E2"/>
    <w:rsid w:val="00253CCD"/>
    <w:rsid w:val="00255344"/>
    <w:rsid w:val="00255ACC"/>
    <w:rsid w:val="00256FF4"/>
    <w:rsid w:val="00257416"/>
    <w:rsid w:val="00257EBD"/>
    <w:rsid w:val="002603FF"/>
    <w:rsid w:val="00261126"/>
    <w:rsid w:val="0026298C"/>
    <w:rsid w:val="00262DDC"/>
    <w:rsid w:val="00262F84"/>
    <w:rsid w:val="002633DA"/>
    <w:rsid w:val="00264F4F"/>
    <w:rsid w:val="00265D32"/>
    <w:rsid w:val="00267340"/>
    <w:rsid w:val="002675CC"/>
    <w:rsid w:val="00270290"/>
    <w:rsid w:val="0027056F"/>
    <w:rsid w:val="00270740"/>
    <w:rsid w:val="00270BDA"/>
    <w:rsid w:val="00274337"/>
    <w:rsid w:val="00274C56"/>
    <w:rsid w:val="00274E72"/>
    <w:rsid w:val="002758CD"/>
    <w:rsid w:val="002758E9"/>
    <w:rsid w:val="00276E5B"/>
    <w:rsid w:val="0027727D"/>
    <w:rsid w:val="002806AF"/>
    <w:rsid w:val="00280A2B"/>
    <w:rsid w:val="002824E1"/>
    <w:rsid w:val="00283316"/>
    <w:rsid w:val="0028389F"/>
    <w:rsid w:val="002841EB"/>
    <w:rsid w:val="002848D0"/>
    <w:rsid w:val="00284A6D"/>
    <w:rsid w:val="00284EE6"/>
    <w:rsid w:val="00285266"/>
    <w:rsid w:val="002865F6"/>
    <w:rsid w:val="00286E47"/>
    <w:rsid w:val="002871DA"/>
    <w:rsid w:val="00287B87"/>
    <w:rsid w:val="002901A1"/>
    <w:rsid w:val="002915A3"/>
    <w:rsid w:val="00291857"/>
    <w:rsid w:val="00291D34"/>
    <w:rsid w:val="00291F6F"/>
    <w:rsid w:val="00292DBA"/>
    <w:rsid w:val="00292EF7"/>
    <w:rsid w:val="00293030"/>
    <w:rsid w:val="0029348B"/>
    <w:rsid w:val="0029429B"/>
    <w:rsid w:val="002947C6"/>
    <w:rsid w:val="002951FA"/>
    <w:rsid w:val="002959FB"/>
    <w:rsid w:val="002966D6"/>
    <w:rsid w:val="002968BE"/>
    <w:rsid w:val="00297134"/>
    <w:rsid w:val="002A035D"/>
    <w:rsid w:val="002A12C0"/>
    <w:rsid w:val="002A1CF4"/>
    <w:rsid w:val="002A1F79"/>
    <w:rsid w:val="002A1FD2"/>
    <w:rsid w:val="002A3057"/>
    <w:rsid w:val="002A431E"/>
    <w:rsid w:val="002A437C"/>
    <w:rsid w:val="002A4A9C"/>
    <w:rsid w:val="002A5215"/>
    <w:rsid w:val="002A5369"/>
    <w:rsid w:val="002A5B04"/>
    <w:rsid w:val="002A638C"/>
    <w:rsid w:val="002A6981"/>
    <w:rsid w:val="002A6C14"/>
    <w:rsid w:val="002B0CBD"/>
    <w:rsid w:val="002B25CD"/>
    <w:rsid w:val="002B399D"/>
    <w:rsid w:val="002B39F7"/>
    <w:rsid w:val="002B3E39"/>
    <w:rsid w:val="002B4F78"/>
    <w:rsid w:val="002B6D49"/>
    <w:rsid w:val="002B7996"/>
    <w:rsid w:val="002B7F26"/>
    <w:rsid w:val="002C0B9E"/>
    <w:rsid w:val="002C0D3C"/>
    <w:rsid w:val="002C0D82"/>
    <w:rsid w:val="002C165E"/>
    <w:rsid w:val="002C1E54"/>
    <w:rsid w:val="002C3B50"/>
    <w:rsid w:val="002C4266"/>
    <w:rsid w:val="002C6D86"/>
    <w:rsid w:val="002D07C9"/>
    <w:rsid w:val="002D0D72"/>
    <w:rsid w:val="002D13DC"/>
    <w:rsid w:val="002D1AE8"/>
    <w:rsid w:val="002D20C4"/>
    <w:rsid w:val="002D42AD"/>
    <w:rsid w:val="002D5CF5"/>
    <w:rsid w:val="002D7425"/>
    <w:rsid w:val="002D7742"/>
    <w:rsid w:val="002D788A"/>
    <w:rsid w:val="002D7985"/>
    <w:rsid w:val="002E0BF8"/>
    <w:rsid w:val="002E1494"/>
    <w:rsid w:val="002E1C33"/>
    <w:rsid w:val="002E247A"/>
    <w:rsid w:val="002E4348"/>
    <w:rsid w:val="002E4850"/>
    <w:rsid w:val="002E790C"/>
    <w:rsid w:val="002E793D"/>
    <w:rsid w:val="002E7FC9"/>
    <w:rsid w:val="002F0A01"/>
    <w:rsid w:val="002F13E4"/>
    <w:rsid w:val="002F2F75"/>
    <w:rsid w:val="002F3D7F"/>
    <w:rsid w:val="002F41DC"/>
    <w:rsid w:val="002F4740"/>
    <w:rsid w:val="002F4892"/>
    <w:rsid w:val="002F4BE7"/>
    <w:rsid w:val="002F55F0"/>
    <w:rsid w:val="002F578D"/>
    <w:rsid w:val="002F5DB4"/>
    <w:rsid w:val="002F751A"/>
    <w:rsid w:val="002F7850"/>
    <w:rsid w:val="002F7B3C"/>
    <w:rsid w:val="002F7CF0"/>
    <w:rsid w:val="00300A83"/>
    <w:rsid w:val="00302030"/>
    <w:rsid w:val="00302476"/>
    <w:rsid w:val="00302B8A"/>
    <w:rsid w:val="003030E4"/>
    <w:rsid w:val="003038BA"/>
    <w:rsid w:val="0030458D"/>
    <w:rsid w:val="00306C91"/>
    <w:rsid w:val="00310AA8"/>
    <w:rsid w:val="003113B4"/>
    <w:rsid w:val="00311B33"/>
    <w:rsid w:val="0031322A"/>
    <w:rsid w:val="00316974"/>
    <w:rsid w:val="003170D1"/>
    <w:rsid w:val="003177AC"/>
    <w:rsid w:val="00320DCF"/>
    <w:rsid w:val="00321005"/>
    <w:rsid w:val="00321228"/>
    <w:rsid w:val="003213EB"/>
    <w:rsid w:val="0032208C"/>
    <w:rsid w:val="003222A7"/>
    <w:rsid w:val="00322E3E"/>
    <w:rsid w:val="0032300E"/>
    <w:rsid w:val="003237B9"/>
    <w:rsid w:val="00323F47"/>
    <w:rsid w:val="0032451A"/>
    <w:rsid w:val="003248E1"/>
    <w:rsid w:val="003249DD"/>
    <w:rsid w:val="00325022"/>
    <w:rsid w:val="0032615B"/>
    <w:rsid w:val="0032667F"/>
    <w:rsid w:val="00326A36"/>
    <w:rsid w:val="00327AE6"/>
    <w:rsid w:val="00327EBC"/>
    <w:rsid w:val="00330A38"/>
    <w:rsid w:val="00331CB5"/>
    <w:rsid w:val="003322EB"/>
    <w:rsid w:val="00332B56"/>
    <w:rsid w:val="00332C44"/>
    <w:rsid w:val="00334697"/>
    <w:rsid w:val="00334CD3"/>
    <w:rsid w:val="003367D8"/>
    <w:rsid w:val="00337A73"/>
    <w:rsid w:val="00340036"/>
    <w:rsid w:val="00340CB8"/>
    <w:rsid w:val="00343460"/>
    <w:rsid w:val="00343603"/>
    <w:rsid w:val="00344417"/>
    <w:rsid w:val="0034444E"/>
    <w:rsid w:val="0034573D"/>
    <w:rsid w:val="00345B47"/>
    <w:rsid w:val="003462B1"/>
    <w:rsid w:val="00346494"/>
    <w:rsid w:val="00346AFF"/>
    <w:rsid w:val="003508A2"/>
    <w:rsid w:val="00350A9F"/>
    <w:rsid w:val="00350C24"/>
    <w:rsid w:val="00350E43"/>
    <w:rsid w:val="0035111E"/>
    <w:rsid w:val="00351358"/>
    <w:rsid w:val="00351BF5"/>
    <w:rsid w:val="003524FA"/>
    <w:rsid w:val="00352745"/>
    <w:rsid w:val="0035423B"/>
    <w:rsid w:val="003544AE"/>
    <w:rsid w:val="00354589"/>
    <w:rsid w:val="003561EF"/>
    <w:rsid w:val="003561FC"/>
    <w:rsid w:val="00361AC9"/>
    <w:rsid w:val="003628EB"/>
    <w:rsid w:val="00363C9B"/>
    <w:rsid w:val="00363E93"/>
    <w:rsid w:val="0036519E"/>
    <w:rsid w:val="00365670"/>
    <w:rsid w:val="00365711"/>
    <w:rsid w:val="00367564"/>
    <w:rsid w:val="00367609"/>
    <w:rsid w:val="0036770F"/>
    <w:rsid w:val="00370168"/>
    <w:rsid w:val="00370500"/>
    <w:rsid w:val="00370C38"/>
    <w:rsid w:val="003716A5"/>
    <w:rsid w:val="003730A7"/>
    <w:rsid w:val="0037489B"/>
    <w:rsid w:val="0037681F"/>
    <w:rsid w:val="00377422"/>
    <w:rsid w:val="0038009B"/>
    <w:rsid w:val="0038115B"/>
    <w:rsid w:val="003818BC"/>
    <w:rsid w:val="00381C92"/>
    <w:rsid w:val="00381D83"/>
    <w:rsid w:val="00383BB1"/>
    <w:rsid w:val="00384590"/>
    <w:rsid w:val="00384A10"/>
    <w:rsid w:val="00384FE4"/>
    <w:rsid w:val="00385366"/>
    <w:rsid w:val="00386161"/>
    <w:rsid w:val="003866BB"/>
    <w:rsid w:val="003871F6"/>
    <w:rsid w:val="003873C3"/>
    <w:rsid w:val="003878AB"/>
    <w:rsid w:val="00390367"/>
    <w:rsid w:val="00390F0B"/>
    <w:rsid w:val="00392CDA"/>
    <w:rsid w:val="0039409C"/>
    <w:rsid w:val="0039423F"/>
    <w:rsid w:val="003953AD"/>
    <w:rsid w:val="003953FD"/>
    <w:rsid w:val="00395567"/>
    <w:rsid w:val="003956E0"/>
    <w:rsid w:val="00395A8E"/>
    <w:rsid w:val="00396363"/>
    <w:rsid w:val="00396BF5"/>
    <w:rsid w:val="00397D26"/>
    <w:rsid w:val="003A2841"/>
    <w:rsid w:val="003A2974"/>
    <w:rsid w:val="003A2B5E"/>
    <w:rsid w:val="003A30A7"/>
    <w:rsid w:val="003A3672"/>
    <w:rsid w:val="003A4605"/>
    <w:rsid w:val="003A4F66"/>
    <w:rsid w:val="003A4FCD"/>
    <w:rsid w:val="003A6748"/>
    <w:rsid w:val="003A69F8"/>
    <w:rsid w:val="003A78D0"/>
    <w:rsid w:val="003B03DD"/>
    <w:rsid w:val="003B0E9A"/>
    <w:rsid w:val="003B134C"/>
    <w:rsid w:val="003B1B95"/>
    <w:rsid w:val="003B29D1"/>
    <w:rsid w:val="003B3015"/>
    <w:rsid w:val="003B30AB"/>
    <w:rsid w:val="003B47C4"/>
    <w:rsid w:val="003B555A"/>
    <w:rsid w:val="003B73BE"/>
    <w:rsid w:val="003B7B78"/>
    <w:rsid w:val="003C207C"/>
    <w:rsid w:val="003C2BDD"/>
    <w:rsid w:val="003C5003"/>
    <w:rsid w:val="003C5EBF"/>
    <w:rsid w:val="003C6DE1"/>
    <w:rsid w:val="003C6E78"/>
    <w:rsid w:val="003C7353"/>
    <w:rsid w:val="003C7AA9"/>
    <w:rsid w:val="003C7C5E"/>
    <w:rsid w:val="003C7DAD"/>
    <w:rsid w:val="003D1773"/>
    <w:rsid w:val="003D1E58"/>
    <w:rsid w:val="003D32FC"/>
    <w:rsid w:val="003D3CC7"/>
    <w:rsid w:val="003D50EE"/>
    <w:rsid w:val="003D5193"/>
    <w:rsid w:val="003D5447"/>
    <w:rsid w:val="003D625C"/>
    <w:rsid w:val="003D6ADE"/>
    <w:rsid w:val="003D7E0C"/>
    <w:rsid w:val="003D7F7B"/>
    <w:rsid w:val="003E1E9A"/>
    <w:rsid w:val="003E1F19"/>
    <w:rsid w:val="003E2F36"/>
    <w:rsid w:val="003E4000"/>
    <w:rsid w:val="003E401F"/>
    <w:rsid w:val="003E54FC"/>
    <w:rsid w:val="003E686B"/>
    <w:rsid w:val="003E75F4"/>
    <w:rsid w:val="003F0554"/>
    <w:rsid w:val="003F057C"/>
    <w:rsid w:val="003F05C1"/>
    <w:rsid w:val="003F2CDD"/>
    <w:rsid w:val="003F30DD"/>
    <w:rsid w:val="003F382B"/>
    <w:rsid w:val="003F43A4"/>
    <w:rsid w:val="003F53E0"/>
    <w:rsid w:val="003F61E1"/>
    <w:rsid w:val="003F77BC"/>
    <w:rsid w:val="003F7A50"/>
    <w:rsid w:val="00400115"/>
    <w:rsid w:val="00400D20"/>
    <w:rsid w:val="00401971"/>
    <w:rsid w:val="00401F50"/>
    <w:rsid w:val="00404325"/>
    <w:rsid w:val="00404A05"/>
    <w:rsid w:val="00405595"/>
    <w:rsid w:val="00406D5E"/>
    <w:rsid w:val="0040770C"/>
    <w:rsid w:val="004079F5"/>
    <w:rsid w:val="00407CC1"/>
    <w:rsid w:val="004100FA"/>
    <w:rsid w:val="00410554"/>
    <w:rsid w:val="00411231"/>
    <w:rsid w:val="0041295D"/>
    <w:rsid w:val="00413220"/>
    <w:rsid w:val="0041345D"/>
    <w:rsid w:val="00413573"/>
    <w:rsid w:val="004139F0"/>
    <w:rsid w:val="00413B46"/>
    <w:rsid w:val="00414126"/>
    <w:rsid w:val="004141B8"/>
    <w:rsid w:val="00414958"/>
    <w:rsid w:val="00414C21"/>
    <w:rsid w:val="0041584B"/>
    <w:rsid w:val="0041588F"/>
    <w:rsid w:val="004160B7"/>
    <w:rsid w:val="00417917"/>
    <w:rsid w:val="004179CC"/>
    <w:rsid w:val="00420A16"/>
    <w:rsid w:val="0042196F"/>
    <w:rsid w:val="004263B6"/>
    <w:rsid w:val="00426B49"/>
    <w:rsid w:val="00427A61"/>
    <w:rsid w:val="00427DEA"/>
    <w:rsid w:val="004303D0"/>
    <w:rsid w:val="00431B6A"/>
    <w:rsid w:val="0043243F"/>
    <w:rsid w:val="004339A3"/>
    <w:rsid w:val="00433F0F"/>
    <w:rsid w:val="00434594"/>
    <w:rsid w:val="00434FB1"/>
    <w:rsid w:val="00435280"/>
    <w:rsid w:val="0043564A"/>
    <w:rsid w:val="00436179"/>
    <w:rsid w:val="00436988"/>
    <w:rsid w:val="004370CF"/>
    <w:rsid w:val="0044014F"/>
    <w:rsid w:val="00440317"/>
    <w:rsid w:val="00440A1B"/>
    <w:rsid w:val="004412F6"/>
    <w:rsid w:val="00442396"/>
    <w:rsid w:val="00442EAE"/>
    <w:rsid w:val="00443C6A"/>
    <w:rsid w:val="004442D8"/>
    <w:rsid w:val="00444B61"/>
    <w:rsid w:val="004454CE"/>
    <w:rsid w:val="004454E1"/>
    <w:rsid w:val="00445A3A"/>
    <w:rsid w:val="004468A3"/>
    <w:rsid w:val="00446E27"/>
    <w:rsid w:val="004476B4"/>
    <w:rsid w:val="00447AE1"/>
    <w:rsid w:val="004510C6"/>
    <w:rsid w:val="00451B35"/>
    <w:rsid w:val="00452C1D"/>
    <w:rsid w:val="0045401F"/>
    <w:rsid w:val="00454830"/>
    <w:rsid w:val="00454AC9"/>
    <w:rsid w:val="00455179"/>
    <w:rsid w:val="00455675"/>
    <w:rsid w:val="00455E2F"/>
    <w:rsid w:val="00455F2C"/>
    <w:rsid w:val="00457C10"/>
    <w:rsid w:val="00457D18"/>
    <w:rsid w:val="00460295"/>
    <w:rsid w:val="0046072F"/>
    <w:rsid w:val="00460862"/>
    <w:rsid w:val="00462D3C"/>
    <w:rsid w:val="0046384C"/>
    <w:rsid w:val="004649F9"/>
    <w:rsid w:val="0046503B"/>
    <w:rsid w:val="00465C82"/>
    <w:rsid w:val="0046644F"/>
    <w:rsid w:val="00466FED"/>
    <w:rsid w:val="00467919"/>
    <w:rsid w:val="00470278"/>
    <w:rsid w:val="0047039A"/>
    <w:rsid w:val="00470631"/>
    <w:rsid w:val="004717A3"/>
    <w:rsid w:val="00471840"/>
    <w:rsid w:val="004719C4"/>
    <w:rsid w:val="00472DA0"/>
    <w:rsid w:val="00473211"/>
    <w:rsid w:val="00475BBF"/>
    <w:rsid w:val="00475C62"/>
    <w:rsid w:val="00475E2B"/>
    <w:rsid w:val="004767C8"/>
    <w:rsid w:val="004775D5"/>
    <w:rsid w:val="004808D6"/>
    <w:rsid w:val="0048091C"/>
    <w:rsid w:val="0048092B"/>
    <w:rsid w:val="00480EA5"/>
    <w:rsid w:val="0048109F"/>
    <w:rsid w:val="004817D6"/>
    <w:rsid w:val="00482039"/>
    <w:rsid w:val="00482921"/>
    <w:rsid w:val="00482B75"/>
    <w:rsid w:val="00483877"/>
    <w:rsid w:val="004838C3"/>
    <w:rsid w:val="00483954"/>
    <w:rsid w:val="0048589E"/>
    <w:rsid w:val="00490735"/>
    <w:rsid w:val="00491143"/>
    <w:rsid w:val="0049123A"/>
    <w:rsid w:val="0049127C"/>
    <w:rsid w:val="00491679"/>
    <w:rsid w:val="0049205C"/>
    <w:rsid w:val="00492761"/>
    <w:rsid w:val="00493553"/>
    <w:rsid w:val="004935E2"/>
    <w:rsid w:val="00493C84"/>
    <w:rsid w:val="00494DD0"/>
    <w:rsid w:val="00494FD0"/>
    <w:rsid w:val="00495B6D"/>
    <w:rsid w:val="00495E6F"/>
    <w:rsid w:val="00496321"/>
    <w:rsid w:val="004963EB"/>
    <w:rsid w:val="00497534"/>
    <w:rsid w:val="004A01AA"/>
    <w:rsid w:val="004A1481"/>
    <w:rsid w:val="004A197A"/>
    <w:rsid w:val="004A1EE5"/>
    <w:rsid w:val="004A20C6"/>
    <w:rsid w:val="004A243D"/>
    <w:rsid w:val="004A29F6"/>
    <w:rsid w:val="004A4056"/>
    <w:rsid w:val="004A4C8F"/>
    <w:rsid w:val="004A5DAF"/>
    <w:rsid w:val="004A74B5"/>
    <w:rsid w:val="004B1CB3"/>
    <w:rsid w:val="004B36B6"/>
    <w:rsid w:val="004B3845"/>
    <w:rsid w:val="004B38EA"/>
    <w:rsid w:val="004B571C"/>
    <w:rsid w:val="004B6773"/>
    <w:rsid w:val="004B72B5"/>
    <w:rsid w:val="004B7BD3"/>
    <w:rsid w:val="004C144A"/>
    <w:rsid w:val="004C209E"/>
    <w:rsid w:val="004C27AC"/>
    <w:rsid w:val="004C2936"/>
    <w:rsid w:val="004C2B89"/>
    <w:rsid w:val="004C49CE"/>
    <w:rsid w:val="004D09EB"/>
    <w:rsid w:val="004D322B"/>
    <w:rsid w:val="004D4338"/>
    <w:rsid w:val="004D45F6"/>
    <w:rsid w:val="004D4E4B"/>
    <w:rsid w:val="004D52DE"/>
    <w:rsid w:val="004D683F"/>
    <w:rsid w:val="004D68B0"/>
    <w:rsid w:val="004D71F8"/>
    <w:rsid w:val="004D7B7C"/>
    <w:rsid w:val="004D7E09"/>
    <w:rsid w:val="004E0FF4"/>
    <w:rsid w:val="004E1D5E"/>
    <w:rsid w:val="004E1D92"/>
    <w:rsid w:val="004E33CE"/>
    <w:rsid w:val="004E41E7"/>
    <w:rsid w:val="004E4FA5"/>
    <w:rsid w:val="004E57E3"/>
    <w:rsid w:val="004E5BA8"/>
    <w:rsid w:val="004E61E2"/>
    <w:rsid w:val="004E65EB"/>
    <w:rsid w:val="004E660F"/>
    <w:rsid w:val="004E6969"/>
    <w:rsid w:val="004E6C73"/>
    <w:rsid w:val="004E6D84"/>
    <w:rsid w:val="004E73A9"/>
    <w:rsid w:val="004F04AA"/>
    <w:rsid w:val="004F05B6"/>
    <w:rsid w:val="004F1DDC"/>
    <w:rsid w:val="004F32D9"/>
    <w:rsid w:val="004F441E"/>
    <w:rsid w:val="004F4683"/>
    <w:rsid w:val="004F4CC2"/>
    <w:rsid w:val="004F5D5E"/>
    <w:rsid w:val="004F5FEA"/>
    <w:rsid w:val="004F694A"/>
    <w:rsid w:val="004F739C"/>
    <w:rsid w:val="004F7684"/>
    <w:rsid w:val="00500376"/>
    <w:rsid w:val="00500514"/>
    <w:rsid w:val="005008D5"/>
    <w:rsid w:val="00500D41"/>
    <w:rsid w:val="00502235"/>
    <w:rsid w:val="00503436"/>
    <w:rsid w:val="005036D2"/>
    <w:rsid w:val="0050437A"/>
    <w:rsid w:val="00504FC6"/>
    <w:rsid w:val="0050556E"/>
    <w:rsid w:val="00505BBA"/>
    <w:rsid w:val="00505D6E"/>
    <w:rsid w:val="00507485"/>
    <w:rsid w:val="00510EFA"/>
    <w:rsid w:val="00511026"/>
    <w:rsid w:val="00511523"/>
    <w:rsid w:val="00511711"/>
    <w:rsid w:val="0051210B"/>
    <w:rsid w:val="00512733"/>
    <w:rsid w:val="0051350F"/>
    <w:rsid w:val="00513F85"/>
    <w:rsid w:val="00514906"/>
    <w:rsid w:val="00514CF0"/>
    <w:rsid w:val="00515791"/>
    <w:rsid w:val="00516155"/>
    <w:rsid w:val="00516B3B"/>
    <w:rsid w:val="005200D6"/>
    <w:rsid w:val="00520975"/>
    <w:rsid w:val="00520C73"/>
    <w:rsid w:val="0052172C"/>
    <w:rsid w:val="00521E42"/>
    <w:rsid w:val="00522426"/>
    <w:rsid w:val="00522487"/>
    <w:rsid w:val="005226D0"/>
    <w:rsid w:val="00522F51"/>
    <w:rsid w:val="00523AE1"/>
    <w:rsid w:val="00524778"/>
    <w:rsid w:val="005254FB"/>
    <w:rsid w:val="0052753D"/>
    <w:rsid w:val="005301C8"/>
    <w:rsid w:val="005302D0"/>
    <w:rsid w:val="00530931"/>
    <w:rsid w:val="00530DDA"/>
    <w:rsid w:val="005319A0"/>
    <w:rsid w:val="005328C9"/>
    <w:rsid w:val="00532E9F"/>
    <w:rsid w:val="00533554"/>
    <w:rsid w:val="0053389D"/>
    <w:rsid w:val="005343F0"/>
    <w:rsid w:val="005344A1"/>
    <w:rsid w:val="00534D76"/>
    <w:rsid w:val="005350A7"/>
    <w:rsid w:val="0053603A"/>
    <w:rsid w:val="005368E1"/>
    <w:rsid w:val="00537C58"/>
    <w:rsid w:val="00537E10"/>
    <w:rsid w:val="00542DDE"/>
    <w:rsid w:val="005431E7"/>
    <w:rsid w:val="005437E9"/>
    <w:rsid w:val="005439AE"/>
    <w:rsid w:val="005440DD"/>
    <w:rsid w:val="005444C0"/>
    <w:rsid w:val="00544653"/>
    <w:rsid w:val="005448CA"/>
    <w:rsid w:val="00545596"/>
    <w:rsid w:val="005471BC"/>
    <w:rsid w:val="005474DB"/>
    <w:rsid w:val="00547F54"/>
    <w:rsid w:val="00550482"/>
    <w:rsid w:val="00550BAB"/>
    <w:rsid w:val="00550C08"/>
    <w:rsid w:val="00550EEC"/>
    <w:rsid w:val="0055101F"/>
    <w:rsid w:val="00552C7B"/>
    <w:rsid w:val="005547B0"/>
    <w:rsid w:val="00554C1B"/>
    <w:rsid w:val="00555013"/>
    <w:rsid w:val="005557EE"/>
    <w:rsid w:val="005559C1"/>
    <w:rsid w:val="005565E0"/>
    <w:rsid w:val="005571BB"/>
    <w:rsid w:val="005605CA"/>
    <w:rsid w:val="00560A91"/>
    <w:rsid w:val="00561C1A"/>
    <w:rsid w:val="00561CD3"/>
    <w:rsid w:val="005632A5"/>
    <w:rsid w:val="00563CA0"/>
    <w:rsid w:val="00564E2B"/>
    <w:rsid w:val="00567731"/>
    <w:rsid w:val="00567773"/>
    <w:rsid w:val="00567DB9"/>
    <w:rsid w:val="00570155"/>
    <w:rsid w:val="005713AB"/>
    <w:rsid w:val="0057298A"/>
    <w:rsid w:val="005731E8"/>
    <w:rsid w:val="005737AD"/>
    <w:rsid w:val="005747B7"/>
    <w:rsid w:val="00575591"/>
    <w:rsid w:val="00575D00"/>
    <w:rsid w:val="0057674E"/>
    <w:rsid w:val="00577CC1"/>
    <w:rsid w:val="00580E7E"/>
    <w:rsid w:val="00580FAC"/>
    <w:rsid w:val="00581C1D"/>
    <w:rsid w:val="00581D36"/>
    <w:rsid w:val="005826D3"/>
    <w:rsid w:val="00583124"/>
    <w:rsid w:val="00583364"/>
    <w:rsid w:val="0058342E"/>
    <w:rsid w:val="005845AE"/>
    <w:rsid w:val="005849C4"/>
    <w:rsid w:val="00584FE8"/>
    <w:rsid w:val="00586B56"/>
    <w:rsid w:val="00587DF8"/>
    <w:rsid w:val="00590421"/>
    <w:rsid w:val="00590CCE"/>
    <w:rsid w:val="00590EEA"/>
    <w:rsid w:val="0059181E"/>
    <w:rsid w:val="00593691"/>
    <w:rsid w:val="00594050"/>
    <w:rsid w:val="005943A1"/>
    <w:rsid w:val="00594C1C"/>
    <w:rsid w:val="00595BA4"/>
    <w:rsid w:val="00596035"/>
    <w:rsid w:val="00596999"/>
    <w:rsid w:val="00596F37"/>
    <w:rsid w:val="00597F59"/>
    <w:rsid w:val="005A0429"/>
    <w:rsid w:val="005A0704"/>
    <w:rsid w:val="005A19E7"/>
    <w:rsid w:val="005A343F"/>
    <w:rsid w:val="005A3521"/>
    <w:rsid w:val="005A3CC6"/>
    <w:rsid w:val="005A4093"/>
    <w:rsid w:val="005A4A37"/>
    <w:rsid w:val="005A5343"/>
    <w:rsid w:val="005A73B5"/>
    <w:rsid w:val="005A7E47"/>
    <w:rsid w:val="005B0DE2"/>
    <w:rsid w:val="005B0F3C"/>
    <w:rsid w:val="005B19BC"/>
    <w:rsid w:val="005B355E"/>
    <w:rsid w:val="005B3FFF"/>
    <w:rsid w:val="005B402E"/>
    <w:rsid w:val="005B4500"/>
    <w:rsid w:val="005B4AD2"/>
    <w:rsid w:val="005B4F06"/>
    <w:rsid w:val="005B534F"/>
    <w:rsid w:val="005B5A27"/>
    <w:rsid w:val="005B5C35"/>
    <w:rsid w:val="005C0577"/>
    <w:rsid w:val="005C0807"/>
    <w:rsid w:val="005C1502"/>
    <w:rsid w:val="005C2206"/>
    <w:rsid w:val="005C28B2"/>
    <w:rsid w:val="005C3A3F"/>
    <w:rsid w:val="005C436A"/>
    <w:rsid w:val="005C4785"/>
    <w:rsid w:val="005C4DFF"/>
    <w:rsid w:val="005C5A0A"/>
    <w:rsid w:val="005C697E"/>
    <w:rsid w:val="005C7112"/>
    <w:rsid w:val="005C73C0"/>
    <w:rsid w:val="005C77B9"/>
    <w:rsid w:val="005D1040"/>
    <w:rsid w:val="005D28B4"/>
    <w:rsid w:val="005D3238"/>
    <w:rsid w:val="005D3595"/>
    <w:rsid w:val="005D3BE6"/>
    <w:rsid w:val="005D3D71"/>
    <w:rsid w:val="005D3DE8"/>
    <w:rsid w:val="005D4504"/>
    <w:rsid w:val="005D4D16"/>
    <w:rsid w:val="005D69BA"/>
    <w:rsid w:val="005D6A16"/>
    <w:rsid w:val="005D7249"/>
    <w:rsid w:val="005E009B"/>
    <w:rsid w:val="005E07DB"/>
    <w:rsid w:val="005E25A3"/>
    <w:rsid w:val="005E2B59"/>
    <w:rsid w:val="005E2DDF"/>
    <w:rsid w:val="005E32D6"/>
    <w:rsid w:val="005E35FE"/>
    <w:rsid w:val="005E36A2"/>
    <w:rsid w:val="005E40CE"/>
    <w:rsid w:val="005E4EEF"/>
    <w:rsid w:val="005E4F68"/>
    <w:rsid w:val="005E556E"/>
    <w:rsid w:val="005E5E3C"/>
    <w:rsid w:val="005E6E5B"/>
    <w:rsid w:val="005E7BDA"/>
    <w:rsid w:val="005F06C6"/>
    <w:rsid w:val="005F0DBC"/>
    <w:rsid w:val="005F10B2"/>
    <w:rsid w:val="005F1434"/>
    <w:rsid w:val="005F1510"/>
    <w:rsid w:val="005F1F21"/>
    <w:rsid w:val="005F29A4"/>
    <w:rsid w:val="005F3D82"/>
    <w:rsid w:val="005F4387"/>
    <w:rsid w:val="005F51CD"/>
    <w:rsid w:val="005F54CC"/>
    <w:rsid w:val="005F5B45"/>
    <w:rsid w:val="005F7654"/>
    <w:rsid w:val="005F7EA4"/>
    <w:rsid w:val="00600628"/>
    <w:rsid w:val="00600D9B"/>
    <w:rsid w:val="006025F7"/>
    <w:rsid w:val="00602654"/>
    <w:rsid w:val="00602FB2"/>
    <w:rsid w:val="00603817"/>
    <w:rsid w:val="0060381A"/>
    <w:rsid w:val="006040A9"/>
    <w:rsid w:val="00604932"/>
    <w:rsid w:val="00605548"/>
    <w:rsid w:val="00606524"/>
    <w:rsid w:val="00611962"/>
    <w:rsid w:val="006122FB"/>
    <w:rsid w:val="00612A47"/>
    <w:rsid w:val="00614134"/>
    <w:rsid w:val="00614A47"/>
    <w:rsid w:val="00614BFD"/>
    <w:rsid w:val="006164A9"/>
    <w:rsid w:val="00616B73"/>
    <w:rsid w:val="00616CBF"/>
    <w:rsid w:val="00617AB5"/>
    <w:rsid w:val="006212D5"/>
    <w:rsid w:val="0062177B"/>
    <w:rsid w:val="006232A8"/>
    <w:rsid w:val="00625CF6"/>
    <w:rsid w:val="006260EB"/>
    <w:rsid w:val="00627F29"/>
    <w:rsid w:val="00630267"/>
    <w:rsid w:val="0063048E"/>
    <w:rsid w:val="006309FC"/>
    <w:rsid w:val="006318DD"/>
    <w:rsid w:val="006323D0"/>
    <w:rsid w:val="00632499"/>
    <w:rsid w:val="00632901"/>
    <w:rsid w:val="00632F5E"/>
    <w:rsid w:val="00633182"/>
    <w:rsid w:val="006332DC"/>
    <w:rsid w:val="00633524"/>
    <w:rsid w:val="0063377F"/>
    <w:rsid w:val="006337F4"/>
    <w:rsid w:val="00634758"/>
    <w:rsid w:val="0063626F"/>
    <w:rsid w:val="00636724"/>
    <w:rsid w:val="006367DF"/>
    <w:rsid w:val="00636DD4"/>
    <w:rsid w:val="00637BA0"/>
    <w:rsid w:val="00640C18"/>
    <w:rsid w:val="0064115A"/>
    <w:rsid w:val="006420DD"/>
    <w:rsid w:val="006427A6"/>
    <w:rsid w:val="00642E57"/>
    <w:rsid w:val="00642E65"/>
    <w:rsid w:val="0064371E"/>
    <w:rsid w:val="00644140"/>
    <w:rsid w:val="006447F0"/>
    <w:rsid w:val="00644C8A"/>
    <w:rsid w:val="0064551A"/>
    <w:rsid w:val="00645F45"/>
    <w:rsid w:val="00647FA8"/>
    <w:rsid w:val="00650E69"/>
    <w:rsid w:val="0065119B"/>
    <w:rsid w:val="006515F2"/>
    <w:rsid w:val="00651AF1"/>
    <w:rsid w:val="00651CDE"/>
    <w:rsid w:val="00651F46"/>
    <w:rsid w:val="00651FF7"/>
    <w:rsid w:val="0065203E"/>
    <w:rsid w:val="006524EE"/>
    <w:rsid w:val="00652909"/>
    <w:rsid w:val="00652E36"/>
    <w:rsid w:val="00653680"/>
    <w:rsid w:val="006538A5"/>
    <w:rsid w:val="00654F47"/>
    <w:rsid w:val="006552CE"/>
    <w:rsid w:val="00655E1A"/>
    <w:rsid w:val="00655F5B"/>
    <w:rsid w:val="006603EA"/>
    <w:rsid w:val="00661867"/>
    <w:rsid w:val="006618A6"/>
    <w:rsid w:val="00663911"/>
    <w:rsid w:val="00663B2A"/>
    <w:rsid w:val="00664776"/>
    <w:rsid w:val="006652B3"/>
    <w:rsid w:val="00665E64"/>
    <w:rsid w:val="00666A2A"/>
    <w:rsid w:val="006677BA"/>
    <w:rsid w:val="00670208"/>
    <w:rsid w:val="00672281"/>
    <w:rsid w:val="00672A69"/>
    <w:rsid w:val="00673D85"/>
    <w:rsid w:val="00673EA5"/>
    <w:rsid w:val="0067551E"/>
    <w:rsid w:val="00675650"/>
    <w:rsid w:val="006756DB"/>
    <w:rsid w:val="00676137"/>
    <w:rsid w:val="006761DB"/>
    <w:rsid w:val="00676698"/>
    <w:rsid w:val="00676AB1"/>
    <w:rsid w:val="00676DC2"/>
    <w:rsid w:val="00677CC9"/>
    <w:rsid w:val="00677EF0"/>
    <w:rsid w:val="0068202F"/>
    <w:rsid w:val="0068249A"/>
    <w:rsid w:val="006826E6"/>
    <w:rsid w:val="00682E07"/>
    <w:rsid w:val="006845FA"/>
    <w:rsid w:val="0068475B"/>
    <w:rsid w:val="00685321"/>
    <w:rsid w:val="0068567C"/>
    <w:rsid w:val="00686516"/>
    <w:rsid w:val="00686650"/>
    <w:rsid w:val="00687306"/>
    <w:rsid w:val="00690068"/>
    <w:rsid w:val="006905E2"/>
    <w:rsid w:val="0069082B"/>
    <w:rsid w:val="00690D19"/>
    <w:rsid w:val="00690EC7"/>
    <w:rsid w:val="00690FAB"/>
    <w:rsid w:val="00691C9B"/>
    <w:rsid w:val="00691D17"/>
    <w:rsid w:val="0069259D"/>
    <w:rsid w:val="00693E3A"/>
    <w:rsid w:val="006941A7"/>
    <w:rsid w:val="00695D55"/>
    <w:rsid w:val="006961D2"/>
    <w:rsid w:val="006979B8"/>
    <w:rsid w:val="006A2638"/>
    <w:rsid w:val="006A2B37"/>
    <w:rsid w:val="006A3458"/>
    <w:rsid w:val="006A34D7"/>
    <w:rsid w:val="006A45E7"/>
    <w:rsid w:val="006A49B4"/>
    <w:rsid w:val="006A4CE7"/>
    <w:rsid w:val="006A54DB"/>
    <w:rsid w:val="006A54E1"/>
    <w:rsid w:val="006A5781"/>
    <w:rsid w:val="006A662F"/>
    <w:rsid w:val="006A6708"/>
    <w:rsid w:val="006A69C1"/>
    <w:rsid w:val="006A6A80"/>
    <w:rsid w:val="006A6D07"/>
    <w:rsid w:val="006B0D07"/>
    <w:rsid w:val="006B20B2"/>
    <w:rsid w:val="006B2400"/>
    <w:rsid w:val="006B2B54"/>
    <w:rsid w:val="006B3231"/>
    <w:rsid w:val="006B537C"/>
    <w:rsid w:val="006B555C"/>
    <w:rsid w:val="006B5E3C"/>
    <w:rsid w:val="006B6373"/>
    <w:rsid w:val="006B67F5"/>
    <w:rsid w:val="006B772B"/>
    <w:rsid w:val="006B7A29"/>
    <w:rsid w:val="006C0382"/>
    <w:rsid w:val="006C0690"/>
    <w:rsid w:val="006C1262"/>
    <w:rsid w:val="006C1F3A"/>
    <w:rsid w:val="006C2290"/>
    <w:rsid w:val="006C2D8F"/>
    <w:rsid w:val="006C305E"/>
    <w:rsid w:val="006C408C"/>
    <w:rsid w:val="006C45F1"/>
    <w:rsid w:val="006C4E90"/>
    <w:rsid w:val="006C65CB"/>
    <w:rsid w:val="006C69C1"/>
    <w:rsid w:val="006C73B2"/>
    <w:rsid w:val="006D035D"/>
    <w:rsid w:val="006D03C6"/>
    <w:rsid w:val="006D06CC"/>
    <w:rsid w:val="006D1F31"/>
    <w:rsid w:val="006D2F5C"/>
    <w:rsid w:val="006D3342"/>
    <w:rsid w:val="006D3D8E"/>
    <w:rsid w:val="006D4F0F"/>
    <w:rsid w:val="006D5953"/>
    <w:rsid w:val="006D5FDF"/>
    <w:rsid w:val="006D6C22"/>
    <w:rsid w:val="006D7BA7"/>
    <w:rsid w:val="006D7C13"/>
    <w:rsid w:val="006D7F3A"/>
    <w:rsid w:val="006E0084"/>
    <w:rsid w:val="006E02C3"/>
    <w:rsid w:val="006E081A"/>
    <w:rsid w:val="006E0FED"/>
    <w:rsid w:val="006E1F8D"/>
    <w:rsid w:val="006E21E4"/>
    <w:rsid w:val="006E2F82"/>
    <w:rsid w:val="006E59CB"/>
    <w:rsid w:val="006E5FA3"/>
    <w:rsid w:val="006E646C"/>
    <w:rsid w:val="006E6986"/>
    <w:rsid w:val="006E6B85"/>
    <w:rsid w:val="006E7316"/>
    <w:rsid w:val="006E7373"/>
    <w:rsid w:val="006F1B43"/>
    <w:rsid w:val="006F1C27"/>
    <w:rsid w:val="006F1C43"/>
    <w:rsid w:val="006F1EB1"/>
    <w:rsid w:val="006F23AC"/>
    <w:rsid w:val="006F318E"/>
    <w:rsid w:val="006F4EC4"/>
    <w:rsid w:val="006F505A"/>
    <w:rsid w:val="006F546D"/>
    <w:rsid w:val="006F59A6"/>
    <w:rsid w:val="006F5E1E"/>
    <w:rsid w:val="006F6555"/>
    <w:rsid w:val="006F6A6D"/>
    <w:rsid w:val="007000EE"/>
    <w:rsid w:val="00700551"/>
    <w:rsid w:val="00700B8A"/>
    <w:rsid w:val="00700D6F"/>
    <w:rsid w:val="007025A5"/>
    <w:rsid w:val="00702E18"/>
    <w:rsid w:val="007031B8"/>
    <w:rsid w:val="00705566"/>
    <w:rsid w:val="00705DA1"/>
    <w:rsid w:val="0070600E"/>
    <w:rsid w:val="00706DC1"/>
    <w:rsid w:val="00706E5C"/>
    <w:rsid w:val="007075B5"/>
    <w:rsid w:val="007106F3"/>
    <w:rsid w:val="0071490C"/>
    <w:rsid w:val="0071503F"/>
    <w:rsid w:val="0071510B"/>
    <w:rsid w:val="007153FD"/>
    <w:rsid w:val="00716452"/>
    <w:rsid w:val="00716806"/>
    <w:rsid w:val="00717B58"/>
    <w:rsid w:val="00720DB4"/>
    <w:rsid w:val="00721317"/>
    <w:rsid w:val="00722A11"/>
    <w:rsid w:val="007239F4"/>
    <w:rsid w:val="00725D0C"/>
    <w:rsid w:val="00726474"/>
    <w:rsid w:val="007265B2"/>
    <w:rsid w:val="007302C0"/>
    <w:rsid w:val="00730F04"/>
    <w:rsid w:val="00730F47"/>
    <w:rsid w:val="00731325"/>
    <w:rsid w:val="00731B80"/>
    <w:rsid w:val="0073200B"/>
    <w:rsid w:val="00732424"/>
    <w:rsid w:val="007326A5"/>
    <w:rsid w:val="007327BE"/>
    <w:rsid w:val="00732B4F"/>
    <w:rsid w:val="007333F0"/>
    <w:rsid w:val="00733D72"/>
    <w:rsid w:val="007357FE"/>
    <w:rsid w:val="007359F3"/>
    <w:rsid w:val="00735BC2"/>
    <w:rsid w:val="007366D5"/>
    <w:rsid w:val="007368EE"/>
    <w:rsid w:val="00736E02"/>
    <w:rsid w:val="00736EB7"/>
    <w:rsid w:val="007373F8"/>
    <w:rsid w:val="007376A6"/>
    <w:rsid w:val="0073776B"/>
    <w:rsid w:val="00737ABB"/>
    <w:rsid w:val="00740216"/>
    <w:rsid w:val="00741747"/>
    <w:rsid w:val="00742195"/>
    <w:rsid w:val="007429D7"/>
    <w:rsid w:val="0074335C"/>
    <w:rsid w:val="00744A3D"/>
    <w:rsid w:val="00744C9E"/>
    <w:rsid w:val="0074502F"/>
    <w:rsid w:val="007453B0"/>
    <w:rsid w:val="007454F6"/>
    <w:rsid w:val="00745C64"/>
    <w:rsid w:val="00745DBD"/>
    <w:rsid w:val="00745EE6"/>
    <w:rsid w:val="00746396"/>
    <w:rsid w:val="00747873"/>
    <w:rsid w:val="007509D8"/>
    <w:rsid w:val="00751BB7"/>
    <w:rsid w:val="0075369B"/>
    <w:rsid w:val="00754E0C"/>
    <w:rsid w:val="0075559C"/>
    <w:rsid w:val="0075573A"/>
    <w:rsid w:val="00755808"/>
    <w:rsid w:val="00755D85"/>
    <w:rsid w:val="007563D6"/>
    <w:rsid w:val="00757051"/>
    <w:rsid w:val="00757578"/>
    <w:rsid w:val="007605A5"/>
    <w:rsid w:val="00761ABB"/>
    <w:rsid w:val="00761E44"/>
    <w:rsid w:val="007623F4"/>
    <w:rsid w:val="00763066"/>
    <w:rsid w:val="0076353D"/>
    <w:rsid w:val="00763C90"/>
    <w:rsid w:val="007649FF"/>
    <w:rsid w:val="00764ABF"/>
    <w:rsid w:val="007654CA"/>
    <w:rsid w:val="00765600"/>
    <w:rsid w:val="00765909"/>
    <w:rsid w:val="0076724A"/>
    <w:rsid w:val="0077090D"/>
    <w:rsid w:val="00770C0A"/>
    <w:rsid w:val="00771170"/>
    <w:rsid w:val="0077131A"/>
    <w:rsid w:val="00771699"/>
    <w:rsid w:val="007728E9"/>
    <w:rsid w:val="00772980"/>
    <w:rsid w:val="00775318"/>
    <w:rsid w:val="00776E82"/>
    <w:rsid w:val="007779ED"/>
    <w:rsid w:val="00777C49"/>
    <w:rsid w:val="00777DC9"/>
    <w:rsid w:val="0078051E"/>
    <w:rsid w:val="00780894"/>
    <w:rsid w:val="007810DE"/>
    <w:rsid w:val="007820FB"/>
    <w:rsid w:val="00782304"/>
    <w:rsid w:val="007824A9"/>
    <w:rsid w:val="007824D7"/>
    <w:rsid w:val="00783C86"/>
    <w:rsid w:val="00784A9A"/>
    <w:rsid w:val="00785B0C"/>
    <w:rsid w:val="0078713B"/>
    <w:rsid w:val="00787731"/>
    <w:rsid w:val="00790D42"/>
    <w:rsid w:val="00791815"/>
    <w:rsid w:val="007918E8"/>
    <w:rsid w:val="00792AEE"/>
    <w:rsid w:val="00794A11"/>
    <w:rsid w:val="00795307"/>
    <w:rsid w:val="007953E3"/>
    <w:rsid w:val="00795D05"/>
    <w:rsid w:val="0079628A"/>
    <w:rsid w:val="0079741A"/>
    <w:rsid w:val="00797650"/>
    <w:rsid w:val="007A0535"/>
    <w:rsid w:val="007A1556"/>
    <w:rsid w:val="007A1818"/>
    <w:rsid w:val="007A2C33"/>
    <w:rsid w:val="007A2C83"/>
    <w:rsid w:val="007A3F0C"/>
    <w:rsid w:val="007A460C"/>
    <w:rsid w:val="007A4A3C"/>
    <w:rsid w:val="007A4CFA"/>
    <w:rsid w:val="007A4E6F"/>
    <w:rsid w:val="007A6622"/>
    <w:rsid w:val="007A722F"/>
    <w:rsid w:val="007A76A7"/>
    <w:rsid w:val="007B0948"/>
    <w:rsid w:val="007B16F9"/>
    <w:rsid w:val="007B1701"/>
    <w:rsid w:val="007B178B"/>
    <w:rsid w:val="007B28F4"/>
    <w:rsid w:val="007B3780"/>
    <w:rsid w:val="007B3B59"/>
    <w:rsid w:val="007B50BC"/>
    <w:rsid w:val="007B56E8"/>
    <w:rsid w:val="007B5988"/>
    <w:rsid w:val="007B5C01"/>
    <w:rsid w:val="007B699C"/>
    <w:rsid w:val="007C0821"/>
    <w:rsid w:val="007C0B12"/>
    <w:rsid w:val="007C1450"/>
    <w:rsid w:val="007C22C2"/>
    <w:rsid w:val="007C3608"/>
    <w:rsid w:val="007C3C1F"/>
    <w:rsid w:val="007C4002"/>
    <w:rsid w:val="007C440A"/>
    <w:rsid w:val="007C545E"/>
    <w:rsid w:val="007C5D6B"/>
    <w:rsid w:val="007C61D5"/>
    <w:rsid w:val="007C6CCF"/>
    <w:rsid w:val="007C7C45"/>
    <w:rsid w:val="007D06AC"/>
    <w:rsid w:val="007D0BBF"/>
    <w:rsid w:val="007D1650"/>
    <w:rsid w:val="007D1F72"/>
    <w:rsid w:val="007D2483"/>
    <w:rsid w:val="007D2D54"/>
    <w:rsid w:val="007D2DE6"/>
    <w:rsid w:val="007D2F20"/>
    <w:rsid w:val="007D315B"/>
    <w:rsid w:val="007D45AD"/>
    <w:rsid w:val="007D51C1"/>
    <w:rsid w:val="007D523E"/>
    <w:rsid w:val="007D5F54"/>
    <w:rsid w:val="007D6101"/>
    <w:rsid w:val="007D66B0"/>
    <w:rsid w:val="007D700A"/>
    <w:rsid w:val="007D75AD"/>
    <w:rsid w:val="007E13AB"/>
    <w:rsid w:val="007E181F"/>
    <w:rsid w:val="007E4803"/>
    <w:rsid w:val="007E524C"/>
    <w:rsid w:val="007E59F6"/>
    <w:rsid w:val="007E64F4"/>
    <w:rsid w:val="007E6601"/>
    <w:rsid w:val="007E67DD"/>
    <w:rsid w:val="007E7BCE"/>
    <w:rsid w:val="007F02F4"/>
    <w:rsid w:val="007F138A"/>
    <w:rsid w:val="007F2C92"/>
    <w:rsid w:val="007F3061"/>
    <w:rsid w:val="007F3AC8"/>
    <w:rsid w:val="007F3BBD"/>
    <w:rsid w:val="007F49AB"/>
    <w:rsid w:val="007F607B"/>
    <w:rsid w:val="007F642B"/>
    <w:rsid w:val="007F643D"/>
    <w:rsid w:val="007F659F"/>
    <w:rsid w:val="007F72CC"/>
    <w:rsid w:val="007F7418"/>
    <w:rsid w:val="007F77B0"/>
    <w:rsid w:val="007F7AA3"/>
    <w:rsid w:val="0080004C"/>
    <w:rsid w:val="008003E7"/>
    <w:rsid w:val="00801EF6"/>
    <w:rsid w:val="00802E3D"/>
    <w:rsid w:val="00803535"/>
    <w:rsid w:val="008039BE"/>
    <w:rsid w:val="0080435F"/>
    <w:rsid w:val="00804636"/>
    <w:rsid w:val="00805522"/>
    <w:rsid w:val="00805865"/>
    <w:rsid w:val="00806264"/>
    <w:rsid w:val="008067E7"/>
    <w:rsid w:val="00807E26"/>
    <w:rsid w:val="008102B6"/>
    <w:rsid w:val="00810D37"/>
    <w:rsid w:val="008116B6"/>
    <w:rsid w:val="00811D45"/>
    <w:rsid w:val="00811F35"/>
    <w:rsid w:val="0081272F"/>
    <w:rsid w:val="0081275A"/>
    <w:rsid w:val="00812AEE"/>
    <w:rsid w:val="0081306D"/>
    <w:rsid w:val="00813B3B"/>
    <w:rsid w:val="00814103"/>
    <w:rsid w:val="00815C87"/>
    <w:rsid w:val="00816004"/>
    <w:rsid w:val="00816D46"/>
    <w:rsid w:val="0081738E"/>
    <w:rsid w:val="008205FA"/>
    <w:rsid w:val="00820DE5"/>
    <w:rsid w:val="00821366"/>
    <w:rsid w:val="00821FCB"/>
    <w:rsid w:val="008233A5"/>
    <w:rsid w:val="00823637"/>
    <w:rsid w:val="008239DD"/>
    <w:rsid w:val="00824553"/>
    <w:rsid w:val="00824608"/>
    <w:rsid w:val="0082490A"/>
    <w:rsid w:val="0082566A"/>
    <w:rsid w:val="00826E0D"/>
    <w:rsid w:val="0082736C"/>
    <w:rsid w:val="008273E2"/>
    <w:rsid w:val="00827ABB"/>
    <w:rsid w:val="00827B0D"/>
    <w:rsid w:val="00830F4E"/>
    <w:rsid w:val="00831601"/>
    <w:rsid w:val="008316AA"/>
    <w:rsid w:val="00831BCD"/>
    <w:rsid w:val="00832156"/>
    <w:rsid w:val="00833C5D"/>
    <w:rsid w:val="00836551"/>
    <w:rsid w:val="0083665F"/>
    <w:rsid w:val="00836E97"/>
    <w:rsid w:val="00837AEF"/>
    <w:rsid w:val="008406B4"/>
    <w:rsid w:val="00840AE4"/>
    <w:rsid w:val="0084105D"/>
    <w:rsid w:val="0084167F"/>
    <w:rsid w:val="00841C2D"/>
    <w:rsid w:val="00841FB3"/>
    <w:rsid w:val="00842220"/>
    <w:rsid w:val="00844E0C"/>
    <w:rsid w:val="0084542D"/>
    <w:rsid w:val="00846113"/>
    <w:rsid w:val="0084662F"/>
    <w:rsid w:val="008472B3"/>
    <w:rsid w:val="0084767A"/>
    <w:rsid w:val="00847E86"/>
    <w:rsid w:val="0085094A"/>
    <w:rsid w:val="008509DC"/>
    <w:rsid w:val="00850C25"/>
    <w:rsid w:val="00853825"/>
    <w:rsid w:val="00853A2B"/>
    <w:rsid w:val="00853AAC"/>
    <w:rsid w:val="00853B56"/>
    <w:rsid w:val="00853C6E"/>
    <w:rsid w:val="0085414B"/>
    <w:rsid w:val="008543F7"/>
    <w:rsid w:val="0085647E"/>
    <w:rsid w:val="00857378"/>
    <w:rsid w:val="00857E1F"/>
    <w:rsid w:val="00861B77"/>
    <w:rsid w:val="00864CD0"/>
    <w:rsid w:val="00865221"/>
    <w:rsid w:val="00865971"/>
    <w:rsid w:val="00865E9C"/>
    <w:rsid w:val="00866181"/>
    <w:rsid w:val="008662F2"/>
    <w:rsid w:val="00866BBF"/>
    <w:rsid w:val="00867679"/>
    <w:rsid w:val="00867B34"/>
    <w:rsid w:val="00867EBD"/>
    <w:rsid w:val="0087043D"/>
    <w:rsid w:val="00871399"/>
    <w:rsid w:val="00872453"/>
    <w:rsid w:val="00873BD7"/>
    <w:rsid w:val="00874748"/>
    <w:rsid w:val="00874883"/>
    <w:rsid w:val="0087576C"/>
    <w:rsid w:val="00875D46"/>
    <w:rsid w:val="008768A0"/>
    <w:rsid w:val="00877139"/>
    <w:rsid w:val="00877193"/>
    <w:rsid w:val="0087795A"/>
    <w:rsid w:val="00877DF1"/>
    <w:rsid w:val="00880BAF"/>
    <w:rsid w:val="00881C01"/>
    <w:rsid w:val="00881DBC"/>
    <w:rsid w:val="00881F01"/>
    <w:rsid w:val="008827E8"/>
    <w:rsid w:val="00883996"/>
    <w:rsid w:val="00883CCE"/>
    <w:rsid w:val="00884382"/>
    <w:rsid w:val="008858B5"/>
    <w:rsid w:val="00885D30"/>
    <w:rsid w:val="0088630A"/>
    <w:rsid w:val="008869E5"/>
    <w:rsid w:val="00886C80"/>
    <w:rsid w:val="00887458"/>
    <w:rsid w:val="008875AD"/>
    <w:rsid w:val="00887874"/>
    <w:rsid w:val="008901B7"/>
    <w:rsid w:val="00890B55"/>
    <w:rsid w:val="00890F18"/>
    <w:rsid w:val="008920ED"/>
    <w:rsid w:val="008923B8"/>
    <w:rsid w:val="0089452A"/>
    <w:rsid w:val="00895303"/>
    <w:rsid w:val="008959F4"/>
    <w:rsid w:val="008960A6"/>
    <w:rsid w:val="0089673F"/>
    <w:rsid w:val="008976AD"/>
    <w:rsid w:val="008A0FA6"/>
    <w:rsid w:val="008A1782"/>
    <w:rsid w:val="008A1B3B"/>
    <w:rsid w:val="008A1C21"/>
    <w:rsid w:val="008A3676"/>
    <w:rsid w:val="008A44D7"/>
    <w:rsid w:val="008A47F0"/>
    <w:rsid w:val="008A659D"/>
    <w:rsid w:val="008A6D57"/>
    <w:rsid w:val="008A7203"/>
    <w:rsid w:val="008A7736"/>
    <w:rsid w:val="008B0AE1"/>
    <w:rsid w:val="008B13ED"/>
    <w:rsid w:val="008B212F"/>
    <w:rsid w:val="008B23C0"/>
    <w:rsid w:val="008B2A9F"/>
    <w:rsid w:val="008B2AE9"/>
    <w:rsid w:val="008B3401"/>
    <w:rsid w:val="008B4659"/>
    <w:rsid w:val="008B5001"/>
    <w:rsid w:val="008B5C92"/>
    <w:rsid w:val="008B6812"/>
    <w:rsid w:val="008B6BBE"/>
    <w:rsid w:val="008B6F60"/>
    <w:rsid w:val="008B7174"/>
    <w:rsid w:val="008B74A5"/>
    <w:rsid w:val="008B74BB"/>
    <w:rsid w:val="008C060E"/>
    <w:rsid w:val="008C2DB3"/>
    <w:rsid w:val="008C3323"/>
    <w:rsid w:val="008C5161"/>
    <w:rsid w:val="008C6A40"/>
    <w:rsid w:val="008D1B62"/>
    <w:rsid w:val="008D1DE9"/>
    <w:rsid w:val="008D3030"/>
    <w:rsid w:val="008D3AF2"/>
    <w:rsid w:val="008D4FFE"/>
    <w:rsid w:val="008D5071"/>
    <w:rsid w:val="008D52BA"/>
    <w:rsid w:val="008D52FF"/>
    <w:rsid w:val="008D5F28"/>
    <w:rsid w:val="008D6D1B"/>
    <w:rsid w:val="008D6EF8"/>
    <w:rsid w:val="008D7278"/>
    <w:rsid w:val="008E00A8"/>
    <w:rsid w:val="008E0BD2"/>
    <w:rsid w:val="008E2668"/>
    <w:rsid w:val="008E2BF5"/>
    <w:rsid w:val="008E2DD5"/>
    <w:rsid w:val="008E32D7"/>
    <w:rsid w:val="008E3428"/>
    <w:rsid w:val="008E350B"/>
    <w:rsid w:val="008E41D9"/>
    <w:rsid w:val="008E4CC6"/>
    <w:rsid w:val="008E576F"/>
    <w:rsid w:val="008E588F"/>
    <w:rsid w:val="008E5AA7"/>
    <w:rsid w:val="008E5D2E"/>
    <w:rsid w:val="008E66CC"/>
    <w:rsid w:val="008E6E1A"/>
    <w:rsid w:val="008E768B"/>
    <w:rsid w:val="008F07B1"/>
    <w:rsid w:val="008F0B7D"/>
    <w:rsid w:val="008F1A54"/>
    <w:rsid w:val="008F1C81"/>
    <w:rsid w:val="008F1DA9"/>
    <w:rsid w:val="008F1F9E"/>
    <w:rsid w:val="008F2993"/>
    <w:rsid w:val="008F2CE9"/>
    <w:rsid w:val="008F3323"/>
    <w:rsid w:val="008F356E"/>
    <w:rsid w:val="008F36A7"/>
    <w:rsid w:val="008F3F3A"/>
    <w:rsid w:val="008F4830"/>
    <w:rsid w:val="008F6558"/>
    <w:rsid w:val="008F6A6C"/>
    <w:rsid w:val="008F709F"/>
    <w:rsid w:val="008F7170"/>
    <w:rsid w:val="008F77F7"/>
    <w:rsid w:val="009004CB"/>
    <w:rsid w:val="009006BD"/>
    <w:rsid w:val="00901810"/>
    <w:rsid w:val="00902859"/>
    <w:rsid w:val="0090306F"/>
    <w:rsid w:val="00904490"/>
    <w:rsid w:val="009049C4"/>
    <w:rsid w:val="00905858"/>
    <w:rsid w:val="0090724D"/>
    <w:rsid w:val="00907E61"/>
    <w:rsid w:val="00907F5E"/>
    <w:rsid w:val="00910130"/>
    <w:rsid w:val="0091052B"/>
    <w:rsid w:val="0091090B"/>
    <w:rsid w:val="00910AB8"/>
    <w:rsid w:val="0091132E"/>
    <w:rsid w:val="00912A6E"/>
    <w:rsid w:val="009130D2"/>
    <w:rsid w:val="009133D8"/>
    <w:rsid w:val="009137C2"/>
    <w:rsid w:val="00915745"/>
    <w:rsid w:val="0091756F"/>
    <w:rsid w:val="00921297"/>
    <w:rsid w:val="0092158A"/>
    <w:rsid w:val="009223FD"/>
    <w:rsid w:val="009227F4"/>
    <w:rsid w:val="009236D0"/>
    <w:rsid w:val="00923B77"/>
    <w:rsid w:val="00923E13"/>
    <w:rsid w:val="00924609"/>
    <w:rsid w:val="0092494D"/>
    <w:rsid w:val="009249FB"/>
    <w:rsid w:val="00925D80"/>
    <w:rsid w:val="00925F2B"/>
    <w:rsid w:val="009267C8"/>
    <w:rsid w:val="00926919"/>
    <w:rsid w:val="00926A8C"/>
    <w:rsid w:val="0092700B"/>
    <w:rsid w:val="00927414"/>
    <w:rsid w:val="009275CB"/>
    <w:rsid w:val="009305BD"/>
    <w:rsid w:val="00932005"/>
    <w:rsid w:val="009324AB"/>
    <w:rsid w:val="00935A29"/>
    <w:rsid w:val="00936583"/>
    <w:rsid w:val="00937049"/>
    <w:rsid w:val="0094017C"/>
    <w:rsid w:val="00940F3F"/>
    <w:rsid w:val="00940FE5"/>
    <w:rsid w:val="009413EA"/>
    <w:rsid w:val="00941438"/>
    <w:rsid w:val="00941BBD"/>
    <w:rsid w:val="00941FEA"/>
    <w:rsid w:val="00942B09"/>
    <w:rsid w:val="0094449D"/>
    <w:rsid w:val="0094498F"/>
    <w:rsid w:val="0094502A"/>
    <w:rsid w:val="009451FF"/>
    <w:rsid w:val="00945FDF"/>
    <w:rsid w:val="00946CAE"/>
    <w:rsid w:val="00946D01"/>
    <w:rsid w:val="00946D65"/>
    <w:rsid w:val="0094712E"/>
    <w:rsid w:val="0094769D"/>
    <w:rsid w:val="00947870"/>
    <w:rsid w:val="00947E1B"/>
    <w:rsid w:val="00947F59"/>
    <w:rsid w:val="0095058D"/>
    <w:rsid w:val="00950CC6"/>
    <w:rsid w:val="009513F8"/>
    <w:rsid w:val="00954081"/>
    <w:rsid w:val="009542F9"/>
    <w:rsid w:val="00954389"/>
    <w:rsid w:val="009547AF"/>
    <w:rsid w:val="00954F6F"/>
    <w:rsid w:val="00955699"/>
    <w:rsid w:val="00955B9E"/>
    <w:rsid w:val="00956119"/>
    <w:rsid w:val="009576B4"/>
    <w:rsid w:val="0096190B"/>
    <w:rsid w:val="00962D89"/>
    <w:rsid w:val="00962F79"/>
    <w:rsid w:val="0096394D"/>
    <w:rsid w:val="009645F5"/>
    <w:rsid w:val="0096498C"/>
    <w:rsid w:val="00964AD8"/>
    <w:rsid w:val="009659D3"/>
    <w:rsid w:val="00966B2A"/>
    <w:rsid w:val="00967E82"/>
    <w:rsid w:val="009705E9"/>
    <w:rsid w:val="009707C3"/>
    <w:rsid w:val="00970898"/>
    <w:rsid w:val="00970957"/>
    <w:rsid w:val="00970CDA"/>
    <w:rsid w:val="00970CF1"/>
    <w:rsid w:val="009711DE"/>
    <w:rsid w:val="009716C7"/>
    <w:rsid w:val="009723DB"/>
    <w:rsid w:val="00972A10"/>
    <w:rsid w:val="009730E2"/>
    <w:rsid w:val="00973205"/>
    <w:rsid w:val="00973FC0"/>
    <w:rsid w:val="00974F1E"/>
    <w:rsid w:val="00975710"/>
    <w:rsid w:val="00975B69"/>
    <w:rsid w:val="00976295"/>
    <w:rsid w:val="0097643F"/>
    <w:rsid w:val="00977041"/>
    <w:rsid w:val="00977617"/>
    <w:rsid w:val="009779FB"/>
    <w:rsid w:val="00982591"/>
    <w:rsid w:val="00982A39"/>
    <w:rsid w:val="009830ED"/>
    <w:rsid w:val="0098319E"/>
    <w:rsid w:val="00984283"/>
    <w:rsid w:val="00985E4E"/>
    <w:rsid w:val="00985E69"/>
    <w:rsid w:val="00986EC6"/>
    <w:rsid w:val="00990071"/>
    <w:rsid w:val="009913BE"/>
    <w:rsid w:val="0099233B"/>
    <w:rsid w:val="009935EB"/>
    <w:rsid w:val="009938AF"/>
    <w:rsid w:val="0099401E"/>
    <w:rsid w:val="00996B30"/>
    <w:rsid w:val="009972AB"/>
    <w:rsid w:val="009972D8"/>
    <w:rsid w:val="009A012C"/>
    <w:rsid w:val="009A0CC0"/>
    <w:rsid w:val="009A216B"/>
    <w:rsid w:val="009A3628"/>
    <w:rsid w:val="009A3A18"/>
    <w:rsid w:val="009A3B32"/>
    <w:rsid w:val="009A3C19"/>
    <w:rsid w:val="009A4472"/>
    <w:rsid w:val="009A48AA"/>
    <w:rsid w:val="009A559F"/>
    <w:rsid w:val="009A55D0"/>
    <w:rsid w:val="009A5A14"/>
    <w:rsid w:val="009A5CF5"/>
    <w:rsid w:val="009A675F"/>
    <w:rsid w:val="009A6C73"/>
    <w:rsid w:val="009A6D9E"/>
    <w:rsid w:val="009A7C64"/>
    <w:rsid w:val="009B0485"/>
    <w:rsid w:val="009B05B4"/>
    <w:rsid w:val="009B10EC"/>
    <w:rsid w:val="009B1723"/>
    <w:rsid w:val="009B1E27"/>
    <w:rsid w:val="009B2754"/>
    <w:rsid w:val="009B2A13"/>
    <w:rsid w:val="009B3C0C"/>
    <w:rsid w:val="009B3F52"/>
    <w:rsid w:val="009B4E5C"/>
    <w:rsid w:val="009B5511"/>
    <w:rsid w:val="009B58D7"/>
    <w:rsid w:val="009B6A7B"/>
    <w:rsid w:val="009B6F57"/>
    <w:rsid w:val="009B784F"/>
    <w:rsid w:val="009C0097"/>
    <w:rsid w:val="009C01B8"/>
    <w:rsid w:val="009C05C4"/>
    <w:rsid w:val="009C1194"/>
    <w:rsid w:val="009C1B30"/>
    <w:rsid w:val="009C1B8F"/>
    <w:rsid w:val="009C28A5"/>
    <w:rsid w:val="009C2CBA"/>
    <w:rsid w:val="009C3653"/>
    <w:rsid w:val="009C3AE7"/>
    <w:rsid w:val="009C522A"/>
    <w:rsid w:val="009C53FC"/>
    <w:rsid w:val="009C5FBD"/>
    <w:rsid w:val="009C64BB"/>
    <w:rsid w:val="009C6711"/>
    <w:rsid w:val="009C6A3D"/>
    <w:rsid w:val="009D058F"/>
    <w:rsid w:val="009D0BAF"/>
    <w:rsid w:val="009D0F10"/>
    <w:rsid w:val="009D1304"/>
    <w:rsid w:val="009D1971"/>
    <w:rsid w:val="009D1F02"/>
    <w:rsid w:val="009D2A94"/>
    <w:rsid w:val="009D30E6"/>
    <w:rsid w:val="009D31BB"/>
    <w:rsid w:val="009D3CCE"/>
    <w:rsid w:val="009D41F0"/>
    <w:rsid w:val="009D52CB"/>
    <w:rsid w:val="009D5631"/>
    <w:rsid w:val="009D58D2"/>
    <w:rsid w:val="009D5929"/>
    <w:rsid w:val="009D59AC"/>
    <w:rsid w:val="009D5A8A"/>
    <w:rsid w:val="009D66FA"/>
    <w:rsid w:val="009D6FE5"/>
    <w:rsid w:val="009D733D"/>
    <w:rsid w:val="009D79F2"/>
    <w:rsid w:val="009D7D05"/>
    <w:rsid w:val="009E0018"/>
    <w:rsid w:val="009E0503"/>
    <w:rsid w:val="009E1288"/>
    <w:rsid w:val="009E144D"/>
    <w:rsid w:val="009E1686"/>
    <w:rsid w:val="009E20B8"/>
    <w:rsid w:val="009E218F"/>
    <w:rsid w:val="009E2194"/>
    <w:rsid w:val="009E27BD"/>
    <w:rsid w:val="009E51E9"/>
    <w:rsid w:val="009E5319"/>
    <w:rsid w:val="009E59E4"/>
    <w:rsid w:val="009F0AF4"/>
    <w:rsid w:val="009F1D38"/>
    <w:rsid w:val="009F23DF"/>
    <w:rsid w:val="009F32A2"/>
    <w:rsid w:val="009F3A54"/>
    <w:rsid w:val="009F4791"/>
    <w:rsid w:val="009F4A38"/>
    <w:rsid w:val="009F5A15"/>
    <w:rsid w:val="009F607A"/>
    <w:rsid w:val="009F6934"/>
    <w:rsid w:val="009F7D6A"/>
    <w:rsid w:val="00A0041F"/>
    <w:rsid w:val="00A00480"/>
    <w:rsid w:val="00A00DDE"/>
    <w:rsid w:val="00A01194"/>
    <w:rsid w:val="00A0282F"/>
    <w:rsid w:val="00A044E0"/>
    <w:rsid w:val="00A05592"/>
    <w:rsid w:val="00A05A18"/>
    <w:rsid w:val="00A06170"/>
    <w:rsid w:val="00A07068"/>
    <w:rsid w:val="00A10378"/>
    <w:rsid w:val="00A10A34"/>
    <w:rsid w:val="00A110D3"/>
    <w:rsid w:val="00A11119"/>
    <w:rsid w:val="00A115C7"/>
    <w:rsid w:val="00A12B6D"/>
    <w:rsid w:val="00A12BCC"/>
    <w:rsid w:val="00A13258"/>
    <w:rsid w:val="00A13C96"/>
    <w:rsid w:val="00A14330"/>
    <w:rsid w:val="00A14C48"/>
    <w:rsid w:val="00A14D1F"/>
    <w:rsid w:val="00A15B81"/>
    <w:rsid w:val="00A1666C"/>
    <w:rsid w:val="00A168B6"/>
    <w:rsid w:val="00A175E3"/>
    <w:rsid w:val="00A17DB5"/>
    <w:rsid w:val="00A21051"/>
    <w:rsid w:val="00A210C5"/>
    <w:rsid w:val="00A215F9"/>
    <w:rsid w:val="00A222D3"/>
    <w:rsid w:val="00A22B0F"/>
    <w:rsid w:val="00A23B72"/>
    <w:rsid w:val="00A23D78"/>
    <w:rsid w:val="00A23F80"/>
    <w:rsid w:val="00A243C7"/>
    <w:rsid w:val="00A2474C"/>
    <w:rsid w:val="00A2500D"/>
    <w:rsid w:val="00A262AD"/>
    <w:rsid w:val="00A26B93"/>
    <w:rsid w:val="00A270CA"/>
    <w:rsid w:val="00A2773F"/>
    <w:rsid w:val="00A3061B"/>
    <w:rsid w:val="00A30C5B"/>
    <w:rsid w:val="00A30C9C"/>
    <w:rsid w:val="00A31683"/>
    <w:rsid w:val="00A32164"/>
    <w:rsid w:val="00A3223C"/>
    <w:rsid w:val="00A33C87"/>
    <w:rsid w:val="00A33FD8"/>
    <w:rsid w:val="00A343A0"/>
    <w:rsid w:val="00A35518"/>
    <w:rsid w:val="00A35588"/>
    <w:rsid w:val="00A3598F"/>
    <w:rsid w:val="00A36EA3"/>
    <w:rsid w:val="00A36F64"/>
    <w:rsid w:val="00A40035"/>
    <w:rsid w:val="00A403E7"/>
    <w:rsid w:val="00A405A9"/>
    <w:rsid w:val="00A40B5C"/>
    <w:rsid w:val="00A42C21"/>
    <w:rsid w:val="00A4312F"/>
    <w:rsid w:val="00A4374F"/>
    <w:rsid w:val="00A44375"/>
    <w:rsid w:val="00A453C2"/>
    <w:rsid w:val="00A45472"/>
    <w:rsid w:val="00A454E3"/>
    <w:rsid w:val="00A45863"/>
    <w:rsid w:val="00A459F6"/>
    <w:rsid w:val="00A46FDE"/>
    <w:rsid w:val="00A47DE9"/>
    <w:rsid w:val="00A50AFF"/>
    <w:rsid w:val="00A5194F"/>
    <w:rsid w:val="00A51DE7"/>
    <w:rsid w:val="00A52493"/>
    <w:rsid w:val="00A5255D"/>
    <w:rsid w:val="00A52B1A"/>
    <w:rsid w:val="00A53782"/>
    <w:rsid w:val="00A54714"/>
    <w:rsid w:val="00A54BD5"/>
    <w:rsid w:val="00A55EA1"/>
    <w:rsid w:val="00A579C7"/>
    <w:rsid w:val="00A57AC7"/>
    <w:rsid w:val="00A636FC"/>
    <w:rsid w:val="00A63AF0"/>
    <w:rsid w:val="00A63D61"/>
    <w:rsid w:val="00A64562"/>
    <w:rsid w:val="00A64876"/>
    <w:rsid w:val="00A652A8"/>
    <w:rsid w:val="00A6535F"/>
    <w:rsid w:val="00A654EA"/>
    <w:rsid w:val="00A6559C"/>
    <w:rsid w:val="00A678AA"/>
    <w:rsid w:val="00A67D79"/>
    <w:rsid w:val="00A70340"/>
    <w:rsid w:val="00A705BE"/>
    <w:rsid w:val="00A72350"/>
    <w:rsid w:val="00A72400"/>
    <w:rsid w:val="00A73CDD"/>
    <w:rsid w:val="00A7419C"/>
    <w:rsid w:val="00A74332"/>
    <w:rsid w:val="00A74375"/>
    <w:rsid w:val="00A74B20"/>
    <w:rsid w:val="00A74D1C"/>
    <w:rsid w:val="00A762CC"/>
    <w:rsid w:val="00A764E6"/>
    <w:rsid w:val="00A766A9"/>
    <w:rsid w:val="00A7755C"/>
    <w:rsid w:val="00A77C94"/>
    <w:rsid w:val="00A81274"/>
    <w:rsid w:val="00A82813"/>
    <w:rsid w:val="00A84010"/>
    <w:rsid w:val="00A8402C"/>
    <w:rsid w:val="00A84132"/>
    <w:rsid w:val="00A84826"/>
    <w:rsid w:val="00A849C0"/>
    <w:rsid w:val="00A8506B"/>
    <w:rsid w:val="00A85EF7"/>
    <w:rsid w:val="00A907E4"/>
    <w:rsid w:val="00A92250"/>
    <w:rsid w:val="00A93507"/>
    <w:rsid w:val="00A93F04"/>
    <w:rsid w:val="00A94693"/>
    <w:rsid w:val="00A9590D"/>
    <w:rsid w:val="00A95D12"/>
    <w:rsid w:val="00A96BCA"/>
    <w:rsid w:val="00A97589"/>
    <w:rsid w:val="00A975CE"/>
    <w:rsid w:val="00A97A34"/>
    <w:rsid w:val="00A97ACF"/>
    <w:rsid w:val="00AA06E9"/>
    <w:rsid w:val="00AA0748"/>
    <w:rsid w:val="00AA0B39"/>
    <w:rsid w:val="00AA19D6"/>
    <w:rsid w:val="00AA2B05"/>
    <w:rsid w:val="00AA2D9E"/>
    <w:rsid w:val="00AA3C4F"/>
    <w:rsid w:val="00AA58F7"/>
    <w:rsid w:val="00AA5A10"/>
    <w:rsid w:val="00AA5B3A"/>
    <w:rsid w:val="00AA6679"/>
    <w:rsid w:val="00AA66D4"/>
    <w:rsid w:val="00AA68A2"/>
    <w:rsid w:val="00AA6A48"/>
    <w:rsid w:val="00AA7F36"/>
    <w:rsid w:val="00AB020D"/>
    <w:rsid w:val="00AB08DE"/>
    <w:rsid w:val="00AB1AF5"/>
    <w:rsid w:val="00AB1F36"/>
    <w:rsid w:val="00AB2874"/>
    <w:rsid w:val="00AB3033"/>
    <w:rsid w:val="00AB40A8"/>
    <w:rsid w:val="00AB454B"/>
    <w:rsid w:val="00AB51FA"/>
    <w:rsid w:val="00AB5E09"/>
    <w:rsid w:val="00AB62C6"/>
    <w:rsid w:val="00AB7047"/>
    <w:rsid w:val="00AB7881"/>
    <w:rsid w:val="00AC07B6"/>
    <w:rsid w:val="00AC22FB"/>
    <w:rsid w:val="00AC295F"/>
    <w:rsid w:val="00AC2FC1"/>
    <w:rsid w:val="00AC3728"/>
    <w:rsid w:val="00AC493F"/>
    <w:rsid w:val="00AC4D2B"/>
    <w:rsid w:val="00AC5E3C"/>
    <w:rsid w:val="00AC62B3"/>
    <w:rsid w:val="00AC6FC4"/>
    <w:rsid w:val="00AC7200"/>
    <w:rsid w:val="00AC7BB9"/>
    <w:rsid w:val="00AD060D"/>
    <w:rsid w:val="00AD07DA"/>
    <w:rsid w:val="00AD0BD4"/>
    <w:rsid w:val="00AD0C96"/>
    <w:rsid w:val="00AD14BC"/>
    <w:rsid w:val="00AD15BD"/>
    <w:rsid w:val="00AD1BF2"/>
    <w:rsid w:val="00AD1C7F"/>
    <w:rsid w:val="00AD1CE5"/>
    <w:rsid w:val="00AD2E12"/>
    <w:rsid w:val="00AD32F5"/>
    <w:rsid w:val="00AD3913"/>
    <w:rsid w:val="00AD50A6"/>
    <w:rsid w:val="00AD66E1"/>
    <w:rsid w:val="00AD6A5A"/>
    <w:rsid w:val="00AE07CA"/>
    <w:rsid w:val="00AE114E"/>
    <w:rsid w:val="00AE1423"/>
    <w:rsid w:val="00AE2139"/>
    <w:rsid w:val="00AE4417"/>
    <w:rsid w:val="00AE4FF7"/>
    <w:rsid w:val="00AE580C"/>
    <w:rsid w:val="00AE5D18"/>
    <w:rsid w:val="00AE6AD8"/>
    <w:rsid w:val="00AE6BEE"/>
    <w:rsid w:val="00AE6E3D"/>
    <w:rsid w:val="00AF0A2E"/>
    <w:rsid w:val="00AF1B35"/>
    <w:rsid w:val="00AF20F9"/>
    <w:rsid w:val="00AF224C"/>
    <w:rsid w:val="00AF2487"/>
    <w:rsid w:val="00AF3369"/>
    <w:rsid w:val="00AF389E"/>
    <w:rsid w:val="00AF3A76"/>
    <w:rsid w:val="00AF453C"/>
    <w:rsid w:val="00AF4942"/>
    <w:rsid w:val="00AF5C22"/>
    <w:rsid w:val="00AF620F"/>
    <w:rsid w:val="00AF65F6"/>
    <w:rsid w:val="00AF685E"/>
    <w:rsid w:val="00AF6B5C"/>
    <w:rsid w:val="00AF6F54"/>
    <w:rsid w:val="00AF769A"/>
    <w:rsid w:val="00B009A1"/>
    <w:rsid w:val="00B00BB6"/>
    <w:rsid w:val="00B0105D"/>
    <w:rsid w:val="00B01381"/>
    <w:rsid w:val="00B016AE"/>
    <w:rsid w:val="00B02C6F"/>
    <w:rsid w:val="00B03871"/>
    <w:rsid w:val="00B0391C"/>
    <w:rsid w:val="00B042BB"/>
    <w:rsid w:val="00B0592E"/>
    <w:rsid w:val="00B06D2B"/>
    <w:rsid w:val="00B103BB"/>
    <w:rsid w:val="00B11041"/>
    <w:rsid w:val="00B110B2"/>
    <w:rsid w:val="00B128BB"/>
    <w:rsid w:val="00B12AEB"/>
    <w:rsid w:val="00B131F6"/>
    <w:rsid w:val="00B142AE"/>
    <w:rsid w:val="00B14458"/>
    <w:rsid w:val="00B14957"/>
    <w:rsid w:val="00B14CB1"/>
    <w:rsid w:val="00B1512E"/>
    <w:rsid w:val="00B153D6"/>
    <w:rsid w:val="00B15A00"/>
    <w:rsid w:val="00B15C3D"/>
    <w:rsid w:val="00B15FC2"/>
    <w:rsid w:val="00B162F7"/>
    <w:rsid w:val="00B165A2"/>
    <w:rsid w:val="00B16B41"/>
    <w:rsid w:val="00B213FA"/>
    <w:rsid w:val="00B22061"/>
    <w:rsid w:val="00B22769"/>
    <w:rsid w:val="00B2315C"/>
    <w:rsid w:val="00B233D4"/>
    <w:rsid w:val="00B2362B"/>
    <w:rsid w:val="00B24965"/>
    <w:rsid w:val="00B24BFF"/>
    <w:rsid w:val="00B24F12"/>
    <w:rsid w:val="00B2700C"/>
    <w:rsid w:val="00B2710A"/>
    <w:rsid w:val="00B276E1"/>
    <w:rsid w:val="00B306FF"/>
    <w:rsid w:val="00B3098F"/>
    <w:rsid w:val="00B30E0B"/>
    <w:rsid w:val="00B3194D"/>
    <w:rsid w:val="00B31CB0"/>
    <w:rsid w:val="00B3213B"/>
    <w:rsid w:val="00B34684"/>
    <w:rsid w:val="00B35C8A"/>
    <w:rsid w:val="00B36868"/>
    <w:rsid w:val="00B37FBD"/>
    <w:rsid w:val="00B40040"/>
    <w:rsid w:val="00B40210"/>
    <w:rsid w:val="00B40CC4"/>
    <w:rsid w:val="00B4167E"/>
    <w:rsid w:val="00B41BE2"/>
    <w:rsid w:val="00B42B71"/>
    <w:rsid w:val="00B4381C"/>
    <w:rsid w:val="00B44A67"/>
    <w:rsid w:val="00B44E37"/>
    <w:rsid w:val="00B452D8"/>
    <w:rsid w:val="00B459EE"/>
    <w:rsid w:val="00B4633E"/>
    <w:rsid w:val="00B5246E"/>
    <w:rsid w:val="00B52840"/>
    <w:rsid w:val="00B532EA"/>
    <w:rsid w:val="00B535BA"/>
    <w:rsid w:val="00B55079"/>
    <w:rsid w:val="00B5528C"/>
    <w:rsid w:val="00B55C1F"/>
    <w:rsid w:val="00B57005"/>
    <w:rsid w:val="00B57998"/>
    <w:rsid w:val="00B60269"/>
    <w:rsid w:val="00B603F0"/>
    <w:rsid w:val="00B60A33"/>
    <w:rsid w:val="00B60A4F"/>
    <w:rsid w:val="00B61F05"/>
    <w:rsid w:val="00B62292"/>
    <w:rsid w:val="00B63471"/>
    <w:rsid w:val="00B6439E"/>
    <w:rsid w:val="00B64ACD"/>
    <w:rsid w:val="00B65263"/>
    <w:rsid w:val="00B65595"/>
    <w:rsid w:val="00B66B76"/>
    <w:rsid w:val="00B678CF"/>
    <w:rsid w:val="00B67E9B"/>
    <w:rsid w:val="00B70E63"/>
    <w:rsid w:val="00B70EF3"/>
    <w:rsid w:val="00B7177D"/>
    <w:rsid w:val="00B7192D"/>
    <w:rsid w:val="00B7218A"/>
    <w:rsid w:val="00B7380D"/>
    <w:rsid w:val="00B74991"/>
    <w:rsid w:val="00B762CA"/>
    <w:rsid w:val="00B77F34"/>
    <w:rsid w:val="00B80D68"/>
    <w:rsid w:val="00B8145F"/>
    <w:rsid w:val="00B819F1"/>
    <w:rsid w:val="00B821E5"/>
    <w:rsid w:val="00B82254"/>
    <w:rsid w:val="00B823F8"/>
    <w:rsid w:val="00B82E18"/>
    <w:rsid w:val="00B832A8"/>
    <w:rsid w:val="00B84711"/>
    <w:rsid w:val="00B85317"/>
    <w:rsid w:val="00B85555"/>
    <w:rsid w:val="00B858B8"/>
    <w:rsid w:val="00B85942"/>
    <w:rsid w:val="00B86F80"/>
    <w:rsid w:val="00B87299"/>
    <w:rsid w:val="00B90D5A"/>
    <w:rsid w:val="00B9247E"/>
    <w:rsid w:val="00B93B7F"/>
    <w:rsid w:val="00B93F86"/>
    <w:rsid w:val="00B95E3E"/>
    <w:rsid w:val="00B96FAE"/>
    <w:rsid w:val="00B9711F"/>
    <w:rsid w:val="00B97B51"/>
    <w:rsid w:val="00B97C41"/>
    <w:rsid w:val="00BA0B5D"/>
    <w:rsid w:val="00BA1556"/>
    <w:rsid w:val="00BA2012"/>
    <w:rsid w:val="00BA203F"/>
    <w:rsid w:val="00BA26D7"/>
    <w:rsid w:val="00BA2CF8"/>
    <w:rsid w:val="00BA3B45"/>
    <w:rsid w:val="00BA3D22"/>
    <w:rsid w:val="00BA45FF"/>
    <w:rsid w:val="00BA4B99"/>
    <w:rsid w:val="00BA50D0"/>
    <w:rsid w:val="00BA650C"/>
    <w:rsid w:val="00BA691D"/>
    <w:rsid w:val="00BA6F41"/>
    <w:rsid w:val="00BA6FF8"/>
    <w:rsid w:val="00BA79CA"/>
    <w:rsid w:val="00BA7CBE"/>
    <w:rsid w:val="00BA7FF6"/>
    <w:rsid w:val="00BB0D65"/>
    <w:rsid w:val="00BB15D9"/>
    <w:rsid w:val="00BB2598"/>
    <w:rsid w:val="00BB2E7D"/>
    <w:rsid w:val="00BB3029"/>
    <w:rsid w:val="00BB35BD"/>
    <w:rsid w:val="00BB59C6"/>
    <w:rsid w:val="00BB5E03"/>
    <w:rsid w:val="00BB717C"/>
    <w:rsid w:val="00BB77B8"/>
    <w:rsid w:val="00BC0085"/>
    <w:rsid w:val="00BC00F1"/>
    <w:rsid w:val="00BC0222"/>
    <w:rsid w:val="00BC104D"/>
    <w:rsid w:val="00BC1647"/>
    <w:rsid w:val="00BC16EE"/>
    <w:rsid w:val="00BC1915"/>
    <w:rsid w:val="00BC193D"/>
    <w:rsid w:val="00BC26DB"/>
    <w:rsid w:val="00BC3575"/>
    <w:rsid w:val="00BC453C"/>
    <w:rsid w:val="00BC4730"/>
    <w:rsid w:val="00BC4F3F"/>
    <w:rsid w:val="00BC4F6C"/>
    <w:rsid w:val="00BC5F94"/>
    <w:rsid w:val="00BC602F"/>
    <w:rsid w:val="00BC6974"/>
    <w:rsid w:val="00BC6AB1"/>
    <w:rsid w:val="00BC7985"/>
    <w:rsid w:val="00BC7B6C"/>
    <w:rsid w:val="00BD12A7"/>
    <w:rsid w:val="00BD14E4"/>
    <w:rsid w:val="00BD216A"/>
    <w:rsid w:val="00BD2E61"/>
    <w:rsid w:val="00BD365E"/>
    <w:rsid w:val="00BD36F2"/>
    <w:rsid w:val="00BD3F7B"/>
    <w:rsid w:val="00BD4085"/>
    <w:rsid w:val="00BD49EF"/>
    <w:rsid w:val="00BD516A"/>
    <w:rsid w:val="00BD583B"/>
    <w:rsid w:val="00BD687D"/>
    <w:rsid w:val="00BD6F9C"/>
    <w:rsid w:val="00BD743A"/>
    <w:rsid w:val="00BD77BC"/>
    <w:rsid w:val="00BD78DB"/>
    <w:rsid w:val="00BE1BAF"/>
    <w:rsid w:val="00BE2091"/>
    <w:rsid w:val="00BE336D"/>
    <w:rsid w:val="00BE3932"/>
    <w:rsid w:val="00BE44DB"/>
    <w:rsid w:val="00BE4DB7"/>
    <w:rsid w:val="00BE56CE"/>
    <w:rsid w:val="00BE57EE"/>
    <w:rsid w:val="00BE6565"/>
    <w:rsid w:val="00BE66E9"/>
    <w:rsid w:val="00BE6821"/>
    <w:rsid w:val="00BE72ED"/>
    <w:rsid w:val="00BE7BC8"/>
    <w:rsid w:val="00BF02BB"/>
    <w:rsid w:val="00BF03E8"/>
    <w:rsid w:val="00BF17A6"/>
    <w:rsid w:val="00BF1ED9"/>
    <w:rsid w:val="00BF2158"/>
    <w:rsid w:val="00BF2760"/>
    <w:rsid w:val="00BF2795"/>
    <w:rsid w:val="00BF36E1"/>
    <w:rsid w:val="00BF37A7"/>
    <w:rsid w:val="00BF3D53"/>
    <w:rsid w:val="00BF45DC"/>
    <w:rsid w:val="00BF66A2"/>
    <w:rsid w:val="00BF69B3"/>
    <w:rsid w:val="00BF712C"/>
    <w:rsid w:val="00BF7441"/>
    <w:rsid w:val="00C00377"/>
    <w:rsid w:val="00C01EFF"/>
    <w:rsid w:val="00C020C3"/>
    <w:rsid w:val="00C03954"/>
    <w:rsid w:val="00C03C47"/>
    <w:rsid w:val="00C03F96"/>
    <w:rsid w:val="00C04AD5"/>
    <w:rsid w:val="00C04D4A"/>
    <w:rsid w:val="00C04FA6"/>
    <w:rsid w:val="00C05EA5"/>
    <w:rsid w:val="00C06EEF"/>
    <w:rsid w:val="00C074ED"/>
    <w:rsid w:val="00C10B6E"/>
    <w:rsid w:val="00C10E09"/>
    <w:rsid w:val="00C10E35"/>
    <w:rsid w:val="00C11D9E"/>
    <w:rsid w:val="00C12639"/>
    <w:rsid w:val="00C13C3B"/>
    <w:rsid w:val="00C13E2F"/>
    <w:rsid w:val="00C14213"/>
    <w:rsid w:val="00C14B3C"/>
    <w:rsid w:val="00C1536C"/>
    <w:rsid w:val="00C15E68"/>
    <w:rsid w:val="00C15EEF"/>
    <w:rsid w:val="00C16844"/>
    <w:rsid w:val="00C16D42"/>
    <w:rsid w:val="00C1791C"/>
    <w:rsid w:val="00C20D90"/>
    <w:rsid w:val="00C2212D"/>
    <w:rsid w:val="00C230B3"/>
    <w:rsid w:val="00C24372"/>
    <w:rsid w:val="00C249D6"/>
    <w:rsid w:val="00C24C40"/>
    <w:rsid w:val="00C25686"/>
    <w:rsid w:val="00C262BC"/>
    <w:rsid w:val="00C26E16"/>
    <w:rsid w:val="00C2712D"/>
    <w:rsid w:val="00C2735F"/>
    <w:rsid w:val="00C315C5"/>
    <w:rsid w:val="00C32275"/>
    <w:rsid w:val="00C3257F"/>
    <w:rsid w:val="00C33B82"/>
    <w:rsid w:val="00C345EC"/>
    <w:rsid w:val="00C3469C"/>
    <w:rsid w:val="00C35401"/>
    <w:rsid w:val="00C37589"/>
    <w:rsid w:val="00C37BB5"/>
    <w:rsid w:val="00C4004D"/>
    <w:rsid w:val="00C401A9"/>
    <w:rsid w:val="00C40388"/>
    <w:rsid w:val="00C40460"/>
    <w:rsid w:val="00C40471"/>
    <w:rsid w:val="00C41C4A"/>
    <w:rsid w:val="00C41F58"/>
    <w:rsid w:val="00C42161"/>
    <w:rsid w:val="00C458CC"/>
    <w:rsid w:val="00C45B69"/>
    <w:rsid w:val="00C46CD2"/>
    <w:rsid w:val="00C4738F"/>
    <w:rsid w:val="00C51529"/>
    <w:rsid w:val="00C518A6"/>
    <w:rsid w:val="00C52221"/>
    <w:rsid w:val="00C52AB6"/>
    <w:rsid w:val="00C52CB6"/>
    <w:rsid w:val="00C5320E"/>
    <w:rsid w:val="00C53525"/>
    <w:rsid w:val="00C54C78"/>
    <w:rsid w:val="00C5620B"/>
    <w:rsid w:val="00C56BFA"/>
    <w:rsid w:val="00C57782"/>
    <w:rsid w:val="00C57C48"/>
    <w:rsid w:val="00C60482"/>
    <w:rsid w:val="00C60492"/>
    <w:rsid w:val="00C63847"/>
    <w:rsid w:val="00C6384C"/>
    <w:rsid w:val="00C639F7"/>
    <w:rsid w:val="00C63FFC"/>
    <w:rsid w:val="00C65636"/>
    <w:rsid w:val="00C65720"/>
    <w:rsid w:val="00C663AB"/>
    <w:rsid w:val="00C666EB"/>
    <w:rsid w:val="00C66C15"/>
    <w:rsid w:val="00C6742C"/>
    <w:rsid w:val="00C6775A"/>
    <w:rsid w:val="00C70417"/>
    <w:rsid w:val="00C70E8C"/>
    <w:rsid w:val="00C72017"/>
    <w:rsid w:val="00C741E3"/>
    <w:rsid w:val="00C74597"/>
    <w:rsid w:val="00C74F21"/>
    <w:rsid w:val="00C75D73"/>
    <w:rsid w:val="00C769E3"/>
    <w:rsid w:val="00C81775"/>
    <w:rsid w:val="00C820B7"/>
    <w:rsid w:val="00C82664"/>
    <w:rsid w:val="00C82AD1"/>
    <w:rsid w:val="00C82CA8"/>
    <w:rsid w:val="00C8373D"/>
    <w:rsid w:val="00C83E0F"/>
    <w:rsid w:val="00C83F6B"/>
    <w:rsid w:val="00C87298"/>
    <w:rsid w:val="00C9037E"/>
    <w:rsid w:val="00C91171"/>
    <w:rsid w:val="00C91BB4"/>
    <w:rsid w:val="00C91F69"/>
    <w:rsid w:val="00C923DE"/>
    <w:rsid w:val="00C92D26"/>
    <w:rsid w:val="00C92DD3"/>
    <w:rsid w:val="00C943A8"/>
    <w:rsid w:val="00C96A74"/>
    <w:rsid w:val="00C96BDE"/>
    <w:rsid w:val="00CA0626"/>
    <w:rsid w:val="00CA1A22"/>
    <w:rsid w:val="00CA29EA"/>
    <w:rsid w:val="00CA2CE9"/>
    <w:rsid w:val="00CA2FBE"/>
    <w:rsid w:val="00CA3095"/>
    <w:rsid w:val="00CA36D5"/>
    <w:rsid w:val="00CA41A8"/>
    <w:rsid w:val="00CA43EE"/>
    <w:rsid w:val="00CA44F7"/>
    <w:rsid w:val="00CA4CA1"/>
    <w:rsid w:val="00CA53BF"/>
    <w:rsid w:val="00CA55B9"/>
    <w:rsid w:val="00CA67E0"/>
    <w:rsid w:val="00CA783F"/>
    <w:rsid w:val="00CB01AB"/>
    <w:rsid w:val="00CB11CD"/>
    <w:rsid w:val="00CB1574"/>
    <w:rsid w:val="00CB19FF"/>
    <w:rsid w:val="00CB1BF1"/>
    <w:rsid w:val="00CB2671"/>
    <w:rsid w:val="00CB2A45"/>
    <w:rsid w:val="00CB2C4F"/>
    <w:rsid w:val="00CB3B5D"/>
    <w:rsid w:val="00CB3CB7"/>
    <w:rsid w:val="00CB3D12"/>
    <w:rsid w:val="00CB539D"/>
    <w:rsid w:val="00CB5FE8"/>
    <w:rsid w:val="00CB6926"/>
    <w:rsid w:val="00CB7A85"/>
    <w:rsid w:val="00CC0E49"/>
    <w:rsid w:val="00CC1208"/>
    <w:rsid w:val="00CC17D9"/>
    <w:rsid w:val="00CC1C77"/>
    <w:rsid w:val="00CC242E"/>
    <w:rsid w:val="00CC28F9"/>
    <w:rsid w:val="00CC2BE6"/>
    <w:rsid w:val="00CC2ED3"/>
    <w:rsid w:val="00CC3C19"/>
    <w:rsid w:val="00CC3FC1"/>
    <w:rsid w:val="00CC40CA"/>
    <w:rsid w:val="00CC5907"/>
    <w:rsid w:val="00CC5C3E"/>
    <w:rsid w:val="00CC5CFA"/>
    <w:rsid w:val="00CC6EA7"/>
    <w:rsid w:val="00CC7D1E"/>
    <w:rsid w:val="00CD0121"/>
    <w:rsid w:val="00CD0C99"/>
    <w:rsid w:val="00CD0E42"/>
    <w:rsid w:val="00CD0F20"/>
    <w:rsid w:val="00CD0FDC"/>
    <w:rsid w:val="00CD1736"/>
    <w:rsid w:val="00CD3132"/>
    <w:rsid w:val="00CD4234"/>
    <w:rsid w:val="00CD437C"/>
    <w:rsid w:val="00CD4A80"/>
    <w:rsid w:val="00CD656B"/>
    <w:rsid w:val="00CD66FA"/>
    <w:rsid w:val="00CD6A11"/>
    <w:rsid w:val="00CD73F4"/>
    <w:rsid w:val="00CD766B"/>
    <w:rsid w:val="00CD7B2E"/>
    <w:rsid w:val="00CE13A0"/>
    <w:rsid w:val="00CE1472"/>
    <w:rsid w:val="00CE1963"/>
    <w:rsid w:val="00CE2143"/>
    <w:rsid w:val="00CE37C3"/>
    <w:rsid w:val="00CE398F"/>
    <w:rsid w:val="00CE44A1"/>
    <w:rsid w:val="00CE4A18"/>
    <w:rsid w:val="00CE523F"/>
    <w:rsid w:val="00CE55E8"/>
    <w:rsid w:val="00CE5806"/>
    <w:rsid w:val="00CE5850"/>
    <w:rsid w:val="00CE6F21"/>
    <w:rsid w:val="00CE753B"/>
    <w:rsid w:val="00CE7CD0"/>
    <w:rsid w:val="00CF0449"/>
    <w:rsid w:val="00CF0541"/>
    <w:rsid w:val="00CF0D0C"/>
    <w:rsid w:val="00CF0E4E"/>
    <w:rsid w:val="00CF22E8"/>
    <w:rsid w:val="00CF2D7C"/>
    <w:rsid w:val="00CF36AC"/>
    <w:rsid w:val="00CF37C8"/>
    <w:rsid w:val="00CF3AA5"/>
    <w:rsid w:val="00CF4766"/>
    <w:rsid w:val="00CF509C"/>
    <w:rsid w:val="00CF6FEB"/>
    <w:rsid w:val="00CF7029"/>
    <w:rsid w:val="00D00163"/>
    <w:rsid w:val="00D00687"/>
    <w:rsid w:val="00D01973"/>
    <w:rsid w:val="00D024BE"/>
    <w:rsid w:val="00D0542A"/>
    <w:rsid w:val="00D0550C"/>
    <w:rsid w:val="00D06CED"/>
    <w:rsid w:val="00D0791C"/>
    <w:rsid w:val="00D10213"/>
    <w:rsid w:val="00D10B16"/>
    <w:rsid w:val="00D11597"/>
    <w:rsid w:val="00D11693"/>
    <w:rsid w:val="00D11E5D"/>
    <w:rsid w:val="00D11F49"/>
    <w:rsid w:val="00D1327B"/>
    <w:rsid w:val="00D1395B"/>
    <w:rsid w:val="00D15764"/>
    <w:rsid w:val="00D15C4B"/>
    <w:rsid w:val="00D164F8"/>
    <w:rsid w:val="00D20040"/>
    <w:rsid w:val="00D20A6E"/>
    <w:rsid w:val="00D21469"/>
    <w:rsid w:val="00D218F7"/>
    <w:rsid w:val="00D21C81"/>
    <w:rsid w:val="00D21F8E"/>
    <w:rsid w:val="00D22125"/>
    <w:rsid w:val="00D22465"/>
    <w:rsid w:val="00D229DD"/>
    <w:rsid w:val="00D237F4"/>
    <w:rsid w:val="00D23B76"/>
    <w:rsid w:val="00D245FA"/>
    <w:rsid w:val="00D25730"/>
    <w:rsid w:val="00D27A4B"/>
    <w:rsid w:val="00D30EDC"/>
    <w:rsid w:val="00D31737"/>
    <w:rsid w:val="00D31767"/>
    <w:rsid w:val="00D31A62"/>
    <w:rsid w:val="00D32157"/>
    <w:rsid w:val="00D334C9"/>
    <w:rsid w:val="00D33CDA"/>
    <w:rsid w:val="00D34874"/>
    <w:rsid w:val="00D351EF"/>
    <w:rsid w:val="00D35493"/>
    <w:rsid w:val="00D37125"/>
    <w:rsid w:val="00D40276"/>
    <w:rsid w:val="00D4038A"/>
    <w:rsid w:val="00D4194F"/>
    <w:rsid w:val="00D41B66"/>
    <w:rsid w:val="00D427EB"/>
    <w:rsid w:val="00D42C16"/>
    <w:rsid w:val="00D44B5E"/>
    <w:rsid w:val="00D44BF9"/>
    <w:rsid w:val="00D45D6D"/>
    <w:rsid w:val="00D45D87"/>
    <w:rsid w:val="00D4624B"/>
    <w:rsid w:val="00D4691C"/>
    <w:rsid w:val="00D469D8"/>
    <w:rsid w:val="00D503B3"/>
    <w:rsid w:val="00D5174D"/>
    <w:rsid w:val="00D52115"/>
    <w:rsid w:val="00D52824"/>
    <w:rsid w:val="00D5353F"/>
    <w:rsid w:val="00D536C5"/>
    <w:rsid w:val="00D53732"/>
    <w:rsid w:val="00D53BBC"/>
    <w:rsid w:val="00D53C6E"/>
    <w:rsid w:val="00D54FF5"/>
    <w:rsid w:val="00D565E4"/>
    <w:rsid w:val="00D60C7C"/>
    <w:rsid w:val="00D61F08"/>
    <w:rsid w:val="00D62060"/>
    <w:rsid w:val="00D62358"/>
    <w:rsid w:val="00D625D2"/>
    <w:rsid w:val="00D62BBC"/>
    <w:rsid w:val="00D62E77"/>
    <w:rsid w:val="00D637D2"/>
    <w:rsid w:val="00D65FF9"/>
    <w:rsid w:val="00D67F8B"/>
    <w:rsid w:val="00D703C3"/>
    <w:rsid w:val="00D7057C"/>
    <w:rsid w:val="00D71321"/>
    <w:rsid w:val="00D71799"/>
    <w:rsid w:val="00D7236F"/>
    <w:rsid w:val="00D72926"/>
    <w:rsid w:val="00D72ABC"/>
    <w:rsid w:val="00D73DFE"/>
    <w:rsid w:val="00D73F0C"/>
    <w:rsid w:val="00D73FCD"/>
    <w:rsid w:val="00D74739"/>
    <w:rsid w:val="00D74803"/>
    <w:rsid w:val="00D75390"/>
    <w:rsid w:val="00D75934"/>
    <w:rsid w:val="00D75E4E"/>
    <w:rsid w:val="00D7773B"/>
    <w:rsid w:val="00D80793"/>
    <w:rsid w:val="00D80F39"/>
    <w:rsid w:val="00D818A9"/>
    <w:rsid w:val="00D818FD"/>
    <w:rsid w:val="00D83480"/>
    <w:rsid w:val="00D834A0"/>
    <w:rsid w:val="00D83801"/>
    <w:rsid w:val="00D83893"/>
    <w:rsid w:val="00D83A72"/>
    <w:rsid w:val="00D83B1B"/>
    <w:rsid w:val="00D85222"/>
    <w:rsid w:val="00D86C22"/>
    <w:rsid w:val="00D876D7"/>
    <w:rsid w:val="00D91214"/>
    <w:rsid w:val="00D914F5"/>
    <w:rsid w:val="00D92E90"/>
    <w:rsid w:val="00D92EF2"/>
    <w:rsid w:val="00D9369E"/>
    <w:rsid w:val="00D9371A"/>
    <w:rsid w:val="00D93F08"/>
    <w:rsid w:val="00D94213"/>
    <w:rsid w:val="00D957D4"/>
    <w:rsid w:val="00D95FF2"/>
    <w:rsid w:val="00D964D8"/>
    <w:rsid w:val="00D9693A"/>
    <w:rsid w:val="00D96B2D"/>
    <w:rsid w:val="00D97933"/>
    <w:rsid w:val="00DA1128"/>
    <w:rsid w:val="00DA1D51"/>
    <w:rsid w:val="00DA2FE4"/>
    <w:rsid w:val="00DA3051"/>
    <w:rsid w:val="00DA3880"/>
    <w:rsid w:val="00DA56D9"/>
    <w:rsid w:val="00DA57DA"/>
    <w:rsid w:val="00DA5913"/>
    <w:rsid w:val="00DA5EF9"/>
    <w:rsid w:val="00DA6712"/>
    <w:rsid w:val="00DA6C3C"/>
    <w:rsid w:val="00DA7750"/>
    <w:rsid w:val="00DA796B"/>
    <w:rsid w:val="00DB09AB"/>
    <w:rsid w:val="00DB1000"/>
    <w:rsid w:val="00DB199F"/>
    <w:rsid w:val="00DB2627"/>
    <w:rsid w:val="00DB29F7"/>
    <w:rsid w:val="00DB4411"/>
    <w:rsid w:val="00DB45AD"/>
    <w:rsid w:val="00DB550F"/>
    <w:rsid w:val="00DB65E0"/>
    <w:rsid w:val="00DB6738"/>
    <w:rsid w:val="00DB69E8"/>
    <w:rsid w:val="00DB71FD"/>
    <w:rsid w:val="00DB73C4"/>
    <w:rsid w:val="00DC03A9"/>
    <w:rsid w:val="00DC047E"/>
    <w:rsid w:val="00DC08CD"/>
    <w:rsid w:val="00DC2798"/>
    <w:rsid w:val="00DC2863"/>
    <w:rsid w:val="00DC29FB"/>
    <w:rsid w:val="00DC2B94"/>
    <w:rsid w:val="00DC2D20"/>
    <w:rsid w:val="00DC2F58"/>
    <w:rsid w:val="00DC37DB"/>
    <w:rsid w:val="00DC5AB9"/>
    <w:rsid w:val="00DC6F2B"/>
    <w:rsid w:val="00DC7FA4"/>
    <w:rsid w:val="00DD056C"/>
    <w:rsid w:val="00DD1651"/>
    <w:rsid w:val="00DD1660"/>
    <w:rsid w:val="00DD1DF2"/>
    <w:rsid w:val="00DD1DFF"/>
    <w:rsid w:val="00DD24BE"/>
    <w:rsid w:val="00DD25B2"/>
    <w:rsid w:val="00DD26C6"/>
    <w:rsid w:val="00DD2F59"/>
    <w:rsid w:val="00DD3B05"/>
    <w:rsid w:val="00DD43B4"/>
    <w:rsid w:val="00DD4F4C"/>
    <w:rsid w:val="00DD541E"/>
    <w:rsid w:val="00DD5780"/>
    <w:rsid w:val="00DD5D19"/>
    <w:rsid w:val="00DD625B"/>
    <w:rsid w:val="00DE01B6"/>
    <w:rsid w:val="00DE0994"/>
    <w:rsid w:val="00DE0B59"/>
    <w:rsid w:val="00DE0CEF"/>
    <w:rsid w:val="00DE0CFE"/>
    <w:rsid w:val="00DE0D90"/>
    <w:rsid w:val="00DE24FC"/>
    <w:rsid w:val="00DE2CE0"/>
    <w:rsid w:val="00DE36D8"/>
    <w:rsid w:val="00DE3BF2"/>
    <w:rsid w:val="00DE4292"/>
    <w:rsid w:val="00DE50BA"/>
    <w:rsid w:val="00DE53B1"/>
    <w:rsid w:val="00DE60B2"/>
    <w:rsid w:val="00DE787E"/>
    <w:rsid w:val="00DF0AF0"/>
    <w:rsid w:val="00DF1411"/>
    <w:rsid w:val="00DF1B7F"/>
    <w:rsid w:val="00DF21CF"/>
    <w:rsid w:val="00DF2267"/>
    <w:rsid w:val="00DF236C"/>
    <w:rsid w:val="00DF2A1F"/>
    <w:rsid w:val="00DF2DBE"/>
    <w:rsid w:val="00DF2E7C"/>
    <w:rsid w:val="00DF3A38"/>
    <w:rsid w:val="00DF3A51"/>
    <w:rsid w:val="00DF3DC1"/>
    <w:rsid w:val="00DF47B5"/>
    <w:rsid w:val="00DF69D4"/>
    <w:rsid w:val="00DF7363"/>
    <w:rsid w:val="00DF7444"/>
    <w:rsid w:val="00DF7A86"/>
    <w:rsid w:val="00E002E5"/>
    <w:rsid w:val="00E0062F"/>
    <w:rsid w:val="00E01362"/>
    <w:rsid w:val="00E017DC"/>
    <w:rsid w:val="00E02945"/>
    <w:rsid w:val="00E02B8C"/>
    <w:rsid w:val="00E0390D"/>
    <w:rsid w:val="00E03CF6"/>
    <w:rsid w:val="00E03FA0"/>
    <w:rsid w:val="00E040F9"/>
    <w:rsid w:val="00E04826"/>
    <w:rsid w:val="00E06129"/>
    <w:rsid w:val="00E071E6"/>
    <w:rsid w:val="00E07214"/>
    <w:rsid w:val="00E07EEA"/>
    <w:rsid w:val="00E100B4"/>
    <w:rsid w:val="00E10B7B"/>
    <w:rsid w:val="00E119B7"/>
    <w:rsid w:val="00E11ED8"/>
    <w:rsid w:val="00E13562"/>
    <w:rsid w:val="00E135DE"/>
    <w:rsid w:val="00E13C72"/>
    <w:rsid w:val="00E149A1"/>
    <w:rsid w:val="00E1506C"/>
    <w:rsid w:val="00E15C7E"/>
    <w:rsid w:val="00E16AA9"/>
    <w:rsid w:val="00E17974"/>
    <w:rsid w:val="00E20AF7"/>
    <w:rsid w:val="00E20F40"/>
    <w:rsid w:val="00E21510"/>
    <w:rsid w:val="00E222A6"/>
    <w:rsid w:val="00E231B3"/>
    <w:rsid w:val="00E232F0"/>
    <w:rsid w:val="00E234EA"/>
    <w:rsid w:val="00E241D1"/>
    <w:rsid w:val="00E24F75"/>
    <w:rsid w:val="00E2524B"/>
    <w:rsid w:val="00E25CB2"/>
    <w:rsid w:val="00E263FA"/>
    <w:rsid w:val="00E27842"/>
    <w:rsid w:val="00E27899"/>
    <w:rsid w:val="00E307F4"/>
    <w:rsid w:val="00E30B96"/>
    <w:rsid w:val="00E318CA"/>
    <w:rsid w:val="00E331A4"/>
    <w:rsid w:val="00E3385F"/>
    <w:rsid w:val="00E33AB4"/>
    <w:rsid w:val="00E33D61"/>
    <w:rsid w:val="00E3406D"/>
    <w:rsid w:val="00E37613"/>
    <w:rsid w:val="00E3775F"/>
    <w:rsid w:val="00E37AF4"/>
    <w:rsid w:val="00E37B12"/>
    <w:rsid w:val="00E4075C"/>
    <w:rsid w:val="00E40EF3"/>
    <w:rsid w:val="00E4135B"/>
    <w:rsid w:val="00E415DE"/>
    <w:rsid w:val="00E42A0D"/>
    <w:rsid w:val="00E43636"/>
    <w:rsid w:val="00E43C28"/>
    <w:rsid w:val="00E44D3E"/>
    <w:rsid w:val="00E44FE1"/>
    <w:rsid w:val="00E45296"/>
    <w:rsid w:val="00E45E4D"/>
    <w:rsid w:val="00E46D23"/>
    <w:rsid w:val="00E47894"/>
    <w:rsid w:val="00E5057F"/>
    <w:rsid w:val="00E518E3"/>
    <w:rsid w:val="00E53904"/>
    <w:rsid w:val="00E54787"/>
    <w:rsid w:val="00E54DD5"/>
    <w:rsid w:val="00E55028"/>
    <w:rsid w:val="00E551FC"/>
    <w:rsid w:val="00E57050"/>
    <w:rsid w:val="00E60626"/>
    <w:rsid w:val="00E61CB8"/>
    <w:rsid w:val="00E61D41"/>
    <w:rsid w:val="00E622A3"/>
    <w:rsid w:val="00E62398"/>
    <w:rsid w:val="00E62437"/>
    <w:rsid w:val="00E62AB7"/>
    <w:rsid w:val="00E6354F"/>
    <w:rsid w:val="00E63A87"/>
    <w:rsid w:val="00E63F33"/>
    <w:rsid w:val="00E6455F"/>
    <w:rsid w:val="00E64773"/>
    <w:rsid w:val="00E649CC"/>
    <w:rsid w:val="00E656A4"/>
    <w:rsid w:val="00E65DD5"/>
    <w:rsid w:val="00E67903"/>
    <w:rsid w:val="00E67BB6"/>
    <w:rsid w:val="00E67CC1"/>
    <w:rsid w:val="00E70050"/>
    <w:rsid w:val="00E7036C"/>
    <w:rsid w:val="00E70A34"/>
    <w:rsid w:val="00E70AA2"/>
    <w:rsid w:val="00E70ADE"/>
    <w:rsid w:val="00E70D2D"/>
    <w:rsid w:val="00E720C7"/>
    <w:rsid w:val="00E729E6"/>
    <w:rsid w:val="00E72D0D"/>
    <w:rsid w:val="00E73542"/>
    <w:rsid w:val="00E73D95"/>
    <w:rsid w:val="00E73EA8"/>
    <w:rsid w:val="00E74ECB"/>
    <w:rsid w:val="00E76107"/>
    <w:rsid w:val="00E76B24"/>
    <w:rsid w:val="00E76CD9"/>
    <w:rsid w:val="00E80A65"/>
    <w:rsid w:val="00E80F38"/>
    <w:rsid w:val="00E81741"/>
    <w:rsid w:val="00E818ED"/>
    <w:rsid w:val="00E823E1"/>
    <w:rsid w:val="00E847FC"/>
    <w:rsid w:val="00E84870"/>
    <w:rsid w:val="00E8534C"/>
    <w:rsid w:val="00E8658E"/>
    <w:rsid w:val="00E877C9"/>
    <w:rsid w:val="00E87AFD"/>
    <w:rsid w:val="00E87BC2"/>
    <w:rsid w:val="00E87D18"/>
    <w:rsid w:val="00E87D64"/>
    <w:rsid w:val="00E87F38"/>
    <w:rsid w:val="00E901ED"/>
    <w:rsid w:val="00E9099C"/>
    <w:rsid w:val="00E90E46"/>
    <w:rsid w:val="00E90EB6"/>
    <w:rsid w:val="00E910EA"/>
    <w:rsid w:val="00E91528"/>
    <w:rsid w:val="00E917D7"/>
    <w:rsid w:val="00E91C46"/>
    <w:rsid w:val="00E9288F"/>
    <w:rsid w:val="00E93088"/>
    <w:rsid w:val="00E941C6"/>
    <w:rsid w:val="00E946DA"/>
    <w:rsid w:val="00E95DA7"/>
    <w:rsid w:val="00E9666B"/>
    <w:rsid w:val="00E96817"/>
    <w:rsid w:val="00EA00AB"/>
    <w:rsid w:val="00EA120A"/>
    <w:rsid w:val="00EA166F"/>
    <w:rsid w:val="00EA19E0"/>
    <w:rsid w:val="00EA1BD1"/>
    <w:rsid w:val="00EA1FEC"/>
    <w:rsid w:val="00EA2E7E"/>
    <w:rsid w:val="00EA370F"/>
    <w:rsid w:val="00EA3CBE"/>
    <w:rsid w:val="00EA427C"/>
    <w:rsid w:val="00EA42D2"/>
    <w:rsid w:val="00EA764F"/>
    <w:rsid w:val="00EA7E53"/>
    <w:rsid w:val="00EB06DE"/>
    <w:rsid w:val="00EB07D2"/>
    <w:rsid w:val="00EB1A6C"/>
    <w:rsid w:val="00EB281F"/>
    <w:rsid w:val="00EB2B6B"/>
    <w:rsid w:val="00EB5F23"/>
    <w:rsid w:val="00EB5F98"/>
    <w:rsid w:val="00EB6D27"/>
    <w:rsid w:val="00EB7D4D"/>
    <w:rsid w:val="00EC0D06"/>
    <w:rsid w:val="00EC0E89"/>
    <w:rsid w:val="00EC1AA6"/>
    <w:rsid w:val="00EC27E6"/>
    <w:rsid w:val="00EC2ACE"/>
    <w:rsid w:val="00EC34F1"/>
    <w:rsid w:val="00EC38C8"/>
    <w:rsid w:val="00EC4837"/>
    <w:rsid w:val="00EC696A"/>
    <w:rsid w:val="00EC6CBA"/>
    <w:rsid w:val="00EC7CEC"/>
    <w:rsid w:val="00EC7F16"/>
    <w:rsid w:val="00EC7F26"/>
    <w:rsid w:val="00ED0EDF"/>
    <w:rsid w:val="00ED31F2"/>
    <w:rsid w:val="00ED3DED"/>
    <w:rsid w:val="00ED40C4"/>
    <w:rsid w:val="00ED46A3"/>
    <w:rsid w:val="00ED48F3"/>
    <w:rsid w:val="00ED506F"/>
    <w:rsid w:val="00ED5255"/>
    <w:rsid w:val="00ED5C55"/>
    <w:rsid w:val="00ED5F3B"/>
    <w:rsid w:val="00ED6100"/>
    <w:rsid w:val="00ED6318"/>
    <w:rsid w:val="00ED69A4"/>
    <w:rsid w:val="00ED6F6C"/>
    <w:rsid w:val="00ED7297"/>
    <w:rsid w:val="00ED731F"/>
    <w:rsid w:val="00ED7A51"/>
    <w:rsid w:val="00EE0435"/>
    <w:rsid w:val="00EE059E"/>
    <w:rsid w:val="00EE329E"/>
    <w:rsid w:val="00EE33B2"/>
    <w:rsid w:val="00EE3512"/>
    <w:rsid w:val="00EE359B"/>
    <w:rsid w:val="00EE3AB1"/>
    <w:rsid w:val="00EE5624"/>
    <w:rsid w:val="00EE568B"/>
    <w:rsid w:val="00EE6478"/>
    <w:rsid w:val="00EE717D"/>
    <w:rsid w:val="00EE729F"/>
    <w:rsid w:val="00EE7E32"/>
    <w:rsid w:val="00EE7EA8"/>
    <w:rsid w:val="00EF09EB"/>
    <w:rsid w:val="00EF0D49"/>
    <w:rsid w:val="00EF2B48"/>
    <w:rsid w:val="00EF30D2"/>
    <w:rsid w:val="00EF3655"/>
    <w:rsid w:val="00EF37EA"/>
    <w:rsid w:val="00EF4BE0"/>
    <w:rsid w:val="00EF4E14"/>
    <w:rsid w:val="00EF4FBE"/>
    <w:rsid w:val="00EF58BB"/>
    <w:rsid w:val="00EF5ACC"/>
    <w:rsid w:val="00EF67BD"/>
    <w:rsid w:val="00EF6F74"/>
    <w:rsid w:val="00EF7205"/>
    <w:rsid w:val="00F000E6"/>
    <w:rsid w:val="00F004FF"/>
    <w:rsid w:val="00F00EFA"/>
    <w:rsid w:val="00F0155F"/>
    <w:rsid w:val="00F0159A"/>
    <w:rsid w:val="00F02E4D"/>
    <w:rsid w:val="00F034B5"/>
    <w:rsid w:val="00F0438F"/>
    <w:rsid w:val="00F0450B"/>
    <w:rsid w:val="00F046DB"/>
    <w:rsid w:val="00F04D66"/>
    <w:rsid w:val="00F05758"/>
    <w:rsid w:val="00F068AD"/>
    <w:rsid w:val="00F06990"/>
    <w:rsid w:val="00F06AC6"/>
    <w:rsid w:val="00F07566"/>
    <w:rsid w:val="00F07B44"/>
    <w:rsid w:val="00F07C1F"/>
    <w:rsid w:val="00F07D90"/>
    <w:rsid w:val="00F07DA2"/>
    <w:rsid w:val="00F106E0"/>
    <w:rsid w:val="00F106FE"/>
    <w:rsid w:val="00F1149A"/>
    <w:rsid w:val="00F11718"/>
    <w:rsid w:val="00F1250D"/>
    <w:rsid w:val="00F145C7"/>
    <w:rsid w:val="00F1586D"/>
    <w:rsid w:val="00F15975"/>
    <w:rsid w:val="00F162FD"/>
    <w:rsid w:val="00F169E3"/>
    <w:rsid w:val="00F171EF"/>
    <w:rsid w:val="00F17EA6"/>
    <w:rsid w:val="00F17EEC"/>
    <w:rsid w:val="00F215F3"/>
    <w:rsid w:val="00F21FDD"/>
    <w:rsid w:val="00F225FB"/>
    <w:rsid w:val="00F229CE"/>
    <w:rsid w:val="00F22F40"/>
    <w:rsid w:val="00F230D4"/>
    <w:rsid w:val="00F23113"/>
    <w:rsid w:val="00F2324B"/>
    <w:rsid w:val="00F24538"/>
    <w:rsid w:val="00F254A7"/>
    <w:rsid w:val="00F25A49"/>
    <w:rsid w:val="00F26058"/>
    <w:rsid w:val="00F27DC6"/>
    <w:rsid w:val="00F30121"/>
    <w:rsid w:val="00F31E06"/>
    <w:rsid w:val="00F32039"/>
    <w:rsid w:val="00F33508"/>
    <w:rsid w:val="00F3386B"/>
    <w:rsid w:val="00F33C29"/>
    <w:rsid w:val="00F33FE6"/>
    <w:rsid w:val="00F341B5"/>
    <w:rsid w:val="00F34553"/>
    <w:rsid w:val="00F34B33"/>
    <w:rsid w:val="00F35DD6"/>
    <w:rsid w:val="00F36AF4"/>
    <w:rsid w:val="00F36B62"/>
    <w:rsid w:val="00F36BA6"/>
    <w:rsid w:val="00F36EF7"/>
    <w:rsid w:val="00F3750B"/>
    <w:rsid w:val="00F37E37"/>
    <w:rsid w:val="00F401D9"/>
    <w:rsid w:val="00F404FA"/>
    <w:rsid w:val="00F40D2E"/>
    <w:rsid w:val="00F418F0"/>
    <w:rsid w:val="00F4240A"/>
    <w:rsid w:val="00F42DD9"/>
    <w:rsid w:val="00F437DF"/>
    <w:rsid w:val="00F43959"/>
    <w:rsid w:val="00F44B92"/>
    <w:rsid w:val="00F45250"/>
    <w:rsid w:val="00F45C18"/>
    <w:rsid w:val="00F46572"/>
    <w:rsid w:val="00F4742E"/>
    <w:rsid w:val="00F47C2A"/>
    <w:rsid w:val="00F502CC"/>
    <w:rsid w:val="00F513AC"/>
    <w:rsid w:val="00F51E5B"/>
    <w:rsid w:val="00F52155"/>
    <w:rsid w:val="00F53EE2"/>
    <w:rsid w:val="00F54C82"/>
    <w:rsid w:val="00F5554B"/>
    <w:rsid w:val="00F55C89"/>
    <w:rsid w:val="00F560E2"/>
    <w:rsid w:val="00F56193"/>
    <w:rsid w:val="00F567D8"/>
    <w:rsid w:val="00F5744E"/>
    <w:rsid w:val="00F577B5"/>
    <w:rsid w:val="00F57D5E"/>
    <w:rsid w:val="00F601BF"/>
    <w:rsid w:val="00F603AF"/>
    <w:rsid w:val="00F60A57"/>
    <w:rsid w:val="00F60CA0"/>
    <w:rsid w:val="00F6130B"/>
    <w:rsid w:val="00F61684"/>
    <w:rsid w:val="00F640A2"/>
    <w:rsid w:val="00F64A40"/>
    <w:rsid w:val="00F6533D"/>
    <w:rsid w:val="00F65C11"/>
    <w:rsid w:val="00F6621D"/>
    <w:rsid w:val="00F67B32"/>
    <w:rsid w:val="00F7056E"/>
    <w:rsid w:val="00F70CA7"/>
    <w:rsid w:val="00F71577"/>
    <w:rsid w:val="00F72DAD"/>
    <w:rsid w:val="00F74396"/>
    <w:rsid w:val="00F74A86"/>
    <w:rsid w:val="00F74ADC"/>
    <w:rsid w:val="00F76A98"/>
    <w:rsid w:val="00F80BC7"/>
    <w:rsid w:val="00F80D80"/>
    <w:rsid w:val="00F80FA6"/>
    <w:rsid w:val="00F8178A"/>
    <w:rsid w:val="00F82CBB"/>
    <w:rsid w:val="00F83274"/>
    <w:rsid w:val="00F834B4"/>
    <w:rsid w:val="00F83B1A"/>
    <w:rsid w:val="00F83E6A"/>
    <w:rsid w:val="00F8472A"/>
    <w:rsid w:val="00F847FB"/>
    <w:rsid w:val="00F849D7"/>
    <w:rsid w:val="00F854C4"/>
    <w:rsid w:val="00F85BC0"/>
    <w:rsid w:val="00F86158"/>
    <w:rsid w:val="00F8615D"/>
    <w:rsid w:val="00F87B7E"/>
    <w:rsid w:val="00F90921"/>
    <w:rsid w:val="00F9197B"/>
    <w:rsid w:val="00F920B9"/>
    <w:rsid w:val="00F92907"/>
    <w:rsid w:val="00F92B8B"/>
    <w:rsid w:val="00F93C3D"/>
    <w:rsid w:val="00F94FFA"/>
    <w:rsid w:val="00F95DCC"/>
    <w:rsid w:val="00F96882"/>
    <w:rsid w:val="00F96E7A"/>
    <w:rsid w:val="00F9705C"/>
    <w:rsid w:val="00F979E8"/>
    <w:rsid w:val="00FA03BA"/>
    <w:rsid w:val="00FA0CF3"/>
    <w:rsid w:val="00FA11D3"/>
    <w:rsid w:val="00FA1A55"/>
    <w:rsid w:val="00FA22FE"/>
    <w:rsid w:val="00FA3136"/>
    <w:rsid w:val="00FA3227"/>
    <w:rsid w:val="00FA32AC"/>
    <w:rsid w:val="00FA5C7B"/>
    <w:rsid w:val="00FA6305"/>
    <w:rsid w:val="00FA6ED2"/>
    <w:rsid w:val="00FA74A5"/>
    <w:rsid w:val="00FA78EA"/>
    <w:rsid w:val="00FA7F2A"/>
    <w:rsid w:val="00FB05D3"/>
    <w:rsid w:val="00FB0815"/>
    <w:rsid w:val="00FB1561"/>
    <w:rsid w:val="00FB1671"/>
    <w:rsid w:val="00FB1FCA"/>
    <w:rsid w:val="00FB226D"/>
    <w:rsid w:val="00FB2347"/>
    <w:rsid w:val="00FB2500"/>
    <w:rsid w:val="00FB284F"/>
    <w:rsid w:val="00FB2EBF"/>
    <w:rsid w:val="00FB31A5"/>
    <w:rsid w:val="00FB3FFB"/>
    <w:rsid w:val="00FB4642"/>
    <w:rsid w:val="00FB5919"/>
    <w:rsid w:val="00FB6424"/>
    <w:rsid w:val="00FB65F1"/>
    <w:rsid w:val="00FC0B85"/>
    <w:rsid w:val="00FC1139"/>
    <w:rsid w:val="00FC1AD6"/>
    <w:rsid w:val="00FC254D"/>
    <w:rsid w:val="00FC2C37"/>
    <w:rsid w:val="00FC37AF"/>
    <w:rsid w:val="00FC6423"/>
    <w:rsid w:val="00FC6C7D"/>
    <w:rsid w:val="00FC788B"/>
    <w:rsid w:val="00FC798A"/>
    <w:rsid w:val="00FC7F57"/>
    <w:rsid w:val="00FD092D"/>
    <w:rsid w:val="00FD1914"/>
    <w:rsid w:val="00FD2D7C"/>
    <w:rsid w:val="00FD3514"/>
    <w:rsid w:val="00FD4E20"/>
    <w:rsid w:val="00FD64DB"/>
    <w:rsid w:val="00FE0D99"/>
    <w:rsid w:val="00FE0E33"/>
    <w:rsid w:val="00FE239B"/>
    <w:rsid w:val="00FE2D8A"/>
    <w:rsid w:val="00FE37E8"/>
    <w:rsid w:val="00FE4DCF"/>
    <w:rsid w:val="00FE57BD"/>
    <w:rsid w:val="00FE602B"/>
    <w:rsid w:val="00FE6850"/>
    <w:rsid w:val="00FE6DB8"/>
    <w:rsid w:val="00FE76DB"/>
    <w:rsid w:val="00FE77CE"/>
    <w:rsid w:val="00FE7B56"/>
    <w:rsid w:val="00FE7E7F"/>
    <w:rsid w:val="00FF0828"/>
    <w:rsid w:val="00FF0C3D"/>
    <w:rsid w:val="00FF0FD0"/>
    <w:rsid w:val="00FF1519"/>
    <w:rsid w:val="00FF1DE3"/>
    <w:rsid w:val="00FF2279"/>
    <w:rsid w:val="00FF2482"/>
    <w:rsid w:val="00FF2BC4"/>
    <w:rsid w:val="00FF34FE"/>
    <w:rsid w:val="00FF3E6A"/>
    <w:rsid w:val="00FF59B4"/>
    <w:rsid w:val="00FF5FFB"/>
    <w:rsid w:val="00FF7073"/>
    <w:rsid w:val="00FF73C5"/>
    <w:rsid w:val="00FF77A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208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55E1A"/>
    <w:pPr>
      <w:spacing w:after="120" w:line="240" w:lineRule="auto"/>
      <w:jc w:val="both"/>
    </w:pPr>
    <w:rPr>
      <w:rFonts w:ascii="Arial" w:eastAsia="Arial" w:hAnsi="Arial" w:cs="Arial"/>
      <w:sz w:val="18"/>
      <w:szCs w:val="18"/>
      <w:lang w:val="en-GB" w:eastAsia="en-GB"/>
    </w:rPr>
  </w:style>
  <w:style w:type="paragraph" w:styleId="Heading1">
    <w:name w:val="heading 1"/>
    <w:basedOn w:val="Normal"/>
    <w:next w:val="Normal"/>
    <w:link w:val="Heading1Char"/>
    <w:uiPriority w:val="9"/>
    <w:rsid w:val="00012154"/>
    <w:pPr>
      <w:keepNext/>
      <w:numPr>
        <w:numId w:val="2"/>
      </w:numPr>
      <w:spacing w:after="60"/>
      <w:outlineLvl w:val="0"/>
    </w:pPr>
    <w:rPr>
      <w:rFonts w:eastAsia="Times New Roman"/>
      <w:b/>
      <w:bCs/>
      <w:sz w:val="32"/>
      <w:szCs w:val="32"/>
    </w:rPr>
  </w:style>
  <w:style w:type="paragraph" w:styleId="Heading2">
    <w:name w:val="heading 2"/>
    <w:basedOn w:val="Normal"/>
    <w:next w:val="Normal"/>
    <w:link w:val="Heading2Char"/>
    <w:uiPriority w:val="9"/>
    <w:semiHidden/>
    <w:unhideWhenUsed/>
    <w:qFormat/>
    <w:rsid w:val="0049167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338C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qFormat/>
    <w:rsid w:val="00103EEA"/>
    <w:pPr>
      <w:keepNext/>
      <w:spacing w:after="60"/>
      <w:outlineLvl w:val="3"/>
    </w:pPr>
    <w:rPr>
      <w:b/>
      <w:bCs/>
      <w:sz w:val="28"/>
      <w:szCs w:val="28"/>
    </w:rPr>
  </w:style>
  <w:style w:type="paragraph" w:styleId="Heading5">
    <w:name w:val="heading 5"/>
    <w:basedOn w:val="Normal"/>
    <w:next w:val="Normal"/>
    <w:link w:val="Heading5Char"/>
    <w:uiPriority w:val="9"/>
    <w:semiHidden/>
    <w:unhideWhenUsed/>
    <w:qFormat/>
    <w:rsid w:val="000338C2"/>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rsid w:val="00655E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55E1A"/>
  </w:style>
  <w:style w:type="character" w:customStyle="1" w:styleId="Heading4Char">
    <w:name w:val="Heading 4 Char"/>
    <w:basedOn w:val="DefaultParagraphFont"/>
    <w:link w:val="Heading4"/>
    <w:uiPriority w:val="9"/>
    <w:rsid w:val="00103EEA"/>
    <w:rPr>
      <w:rFonts w:ascii="Times New Roman" w:eastAsia="Calibri" w:hAnsi="Times New Roman" w:cs="Times New Roman"/>
      <w:b/>
      <w:bCs/>
      <w:sz w:val="28"/>
      <w:szCs w:val="28"/>
      <w:lang w:val="en-GB" w:bidi="en-US"/>
    </w:rPr>
  </w:style>
  <w:style w:type="character" w:styleId="Hyperlink">
    <w:name w:val="Hyperlink"/>
    <w:uiPriority w:val="99"/>
    <w:rsid w:val="00103EEA"/>
    <w:rPr>
      <w:color w:val="0000FF"/>
      <w:u w:val="single"/>
    </w:rPr>
  </w:style>
  <w:style w:type="paragraph" w:customStyle="1" w:styleId="FRABasicStyle">
    <w:name w:val="(FRA) Basic Style"/>
    <w:basedOn w:val="Normal"/>
    <w:next w:val="FRABodyTextnumbered"/>
    <w:qFormat/>
    <w:rsid w:val="00103EEA"/>
  </w:style>
  <w:style w:type="paragraph" w:customStyle="1" w:styleId="FRAHeading1">
    <w:name w:val="(FRA) Heading 1"/>
    <w:next w:val="FRAHeading2"/>
    <w:uiPriority w:val="1"/>
    <w:qFormat/>
    <w:rsid w:val="00012154"/>
    <w:pPr>
      <w:keepNext/>
      <w:numPr>
        <w:numId w:val="1"/>
      </w:numPr>
      <w:tabs>
        <w:tab w:val="left" w:pos="907"/>
      </w:tabs>
      <w:spacing w:before="240" w:after="60" w:line="240" w:lineRule="auto"/>
      <w:outlineLvl w:val="0"/>
    </w:pPr>
    <w:rPr>
      <w:rFonts w:ascii="Arial" w:eastAsia="Calibri" w:hAnsi="Arial" w:cs="Arial"/>
      <w:b/>
      <w:sz w:val="32"/>
      <w:szCs w:val="32"/>
      <w:lang w:val="en-GB" w:bidi="en-US"/>
    </w:rPr>
  </w:style>
  <w:style w:type="paragraph" w:customStyle="1" w:styleId="FRAHeading2">
    <w:name w:val="(FRA) Heading 2"/>
    <w:basedOn w:val="FRAHeading1"/>
    <w:next w:val="FRAHeading3"/>
    <w:uiPriority w:val="1"/>
    <w:qFormat/>
    <w:rsid w:val="00012154"/>
    <w:pPr>
      <w:numPr>
        <w:ilvl w:val="1"/>
      </w:numPr>
      <w:outlineLvl w:val="1"/>
    </w:pPr>
    <w:rPr>
      <w:sz w:val="28"/>
      <w:szCs w:val="28"/>
    </w:rPr>
  </w:style>
  <w:style w:type="paragraph" w:customStyle="1" w:styleId="FRAHeading3">
    <w:name w:val="(FRA) Heading 3"/>
    <w:basedOn w:val="FRAHeading2"/>
    <w:next w:val="FRABodyText"/>
    <w:uiPriority w:val="1"/>
    <w:qFormat/>
    <w:rsid w:val="00012154"/>
    <w:pPr>
      <w:numPr>
        <w:ilvl w:val="2"/>
      </w:numPr>
      <w:outlineLvl w:val="2"/>
    </w:pPr>
    <w:rPr>
      <w:sz w:val="24"/>
      <w:szCs w:val="24"/>
    </w:rPr>
  </w:style>
  <w:style w:type="paragraph" w:customStyle="1" w:styleId="FRAHeading4">
    <w:name w:val="(FRA) Heading 4"/>
    <w:basedOn w:val="FRAHeading3"/>
    <w:next w:val="Normal"/>
    <w:uiPriority w:val="1"/>
    <w:qFormat/>
    <w:rsid w:val="00012154"/>
    <w:pPr>
      <w:numPr>
        <w:ilvl w:val="0"/>
        <w:numId w:val="0"/>
      </w:numPr>
      <w:tabs>
        <w:tab w:val="clear" w:pos="907"/>
        <w:tab w:val="num" w:pos="1134"/>
      </w:tabs>
      <w:spacing w:before="480" w:after="240"/>
      <w:ind w:left="1134" w:hanging="1134"/>
      <w:outlineLvl w:val="3"/>
    </w:pPr>
    <w:rPr>
      <w:rFonts w:ascii="Arial Narrow" w:hAnsi="Arial Narrow" w:cs="Times New Roman"/>
      <w:b w:val="0"/>
      <w:sz w:val="28"/>
      <w:szCs w:val="22"/>
    </w:rPr>
  </w:style>
  <w:style w:type="paragraph" w:customStyle="1" w:styleId="FRATitle">
    <w:name w:val="(FRA) Title"/>
    <w:next w:val="FRAHeading1"/>
    <w:rsid w:val="00012154"/>
    <w:pPr>
      <w:keepNext/>
      <w:spacing w:after="360" w:line="240" w:lineRule="auto"/>
      <w:jc w:val="center"/>
    </w:pPr>
    <w:rPr>
      <w:rFonts w:ascii="Arial" w:eastAsia="Times New Roman" w:hAnsi="Arial" w:cs="Times New Roman"/>
      <w:b/>
      <w:bCs/>
      <w:sz w:val="36"/>
      <w:u w:val="single"/>
      <w:lang w:val="en-GB"/>
    </w:rPr>
  </w:style>
  <w:style w:type="paragraph" w:styleId="Footer">
    <w:name w:val="footer"/>
    <w:basedOn w:val="Normal"/>
    <w:link w:val="FooterChar"/>
    <w:uiPriority w:val="99"/>
    <w:rsid w:val="00012154"/>
    <w:pPr>
      <w:tabs>
        <w:tab w:val="center" w:pos="4513"/>
        <w:tab w:val="right" w:pos="9026"/>
      </w:tabs>
    </w:pPr>
  </w:style>
  <w:style w:type="character" w:customStyle="1" w:styleId="FooterChar">
    <w:name w:val="Footer Char"/>
    <w:link w:val="Footer"/>
    <w:uiPriority w:val="99"/>
    <w:rsid w:val="00012154"/>
    <w:rPr>
      <w:rFonts w:ascii="Times New Roman" w:eastAsia="Calibri" w:hAnsi="Times New Roman" w:cs="Times New Roman"/>
    </w:rPr>
  </w:style>
  <w:style w:type="character" w:styleId="CommentReference">
    <w:name w:val="annotation reference"/>
    <w:uiPriority w:val="99"/>
    <w:unhideWhenUsed/>
    <w:rsid w:val="00103EEA"/>
    <w:rPr>
      <w:sz w:val="16"/>
      <w:szCs w:val="16"/>
    </w:rPr>
  </w:style>
  <w:style w:type="paragraph" w:styleId="CommentText">
    <w:name w:val="annotation text"/>
    <w:basedOn w:val="Normal"/>
    <w:link w:val="CommentTextChar"/>
    <w:uiPriority w:val="99"/>
    <w:unhideWhenUsed/>
    <w:rsid w:val="00103EEA"/>
  </w:style>
  <w:style w:type="character" w:customStyle="1" w:styleId="CommentTextChar">
    <w:name w:val="Comment Text Char"/>
    <w:basedOn w:val="DefaultParagraphFont"/>
    <w:link w:val="CommentText"/>
    <w:uiPriority w:val="99"/>
    <w:rsid w:val="00103EEA"/>
    <w:rPr>
      <w:rFonts w:ascii="Times New Roman" w:eastAsia="Calibri" w:hAnsi="Times New Roman" w:cs="Times New Roman"/>
      <w:sz w:val="20"/>
      <w:szCs w:val="20"/>
      <w:lang w:val="en-GB" w:bidi="en-US"/>
    </w:rPr>
  </w:style>
  <w:style w:type="paragraph" w:customStyle="1" w:styleId="FRABodyText">
    <w:name w:val="(FRA) Body Text"/>
    <w:link w:val="FRABodyTextChar"/>
    <w:qFormat/>
    <w:rsid w:val="00012154"/>
    <w:pPr>
      <w:spacing w:after="0" w:line="240" w:lineRule="auto"/>
      <w:jc w:val="both"/>
    </w:pPr>
    <w:rPr>
      <w:rFonts w:ascii="Times New Roman" w:eastAsia="Calibri" w:hAnsi="Times New Roman" w:cs="Times New Roman"/>
      <w:lang w:val="en-GB" w:bidi="en-US"/>
    </w:rPr>
  </w:style>
  <w:style w:type="paragraph" w:customStyle="1" w:styleId="FRAHeadingunnumbered2">
    <w:name w:val="(FRA) Heading unnumbered 2"/>
    <w:basedOn w:val="Normal"/>
    <w:next w:val="FRABodyTextnumbered"/>
    <w:rsid w:val="00103EEA"/>
    <w:pPr>
      <w:keepNext/>
      <w:spacing w:before="480" w:after="240"/>
      <w:outlineLvl w:val="1"/>
    </w:pPr>
    <w:rPr>
      <w:rFonts w:ascii="Arial Narrow" w:hAnsi="Arial Narrow"/>
      <w:sz w:val="40"/>
    </w:rPr>
  </w:style>
  <w:style w:type="table" w:styleId="TableGrid">
    <w:name w:val="Table Grid"/>
    <w:basedOn w:val="TableNormal"/>
    <w:rsid w:val="00012154"/>
    <w:pPr>
      <w:spacing w:before="60" w:after="60" w:line="240" w:lineRule="auto"/>
    </w:pPr>
    <w:rPr>
      <w:rFonts w:ascii="Times New Roman" w:eastAsia="Times New Roman" w:hAnsi="Times New Roman" w:cs="Times New Roman"/>
      <w:szCs w:val="20"/>
      <w:lang w:eastAsia="en-IE"/>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center"/>
      </w:pPr>
      <w:rPr>
        <w:rFonts w:ascii="Times New Roman" w:hAnsi="Times New Roman"/>
        <w:b/>
        <w:sz w:val="22"/>
      </w:rPr>
    </w:tblStylePr>
    <w:tblStylePr w:type="firstCol">
      <w:pPr>
        <w:wordWrap/>
        <w:ind w:leftChars="0" w:left="57"/>
      </w:pPr>
      <w:rPr>
        <w:rFonts w:ascii="Times New Roman" w:hAnsi="Times New Roman"/>
        <w:b/>
        <w:sz w:val="22"/>
      </w:rPr>
    </w:tblStylePr>
    <w:tblStylePr w:type="band1Horz">
      <w:pPr>
        <w:wordWrap/>
        <w:ind w:leftChars="0" w:left="57"/>
      </w:pPr>
    </w:tblStylePr>
    <w:tblStylePr w:type="band2Horz">
      <w:pPr>
        <w:wordWrap/>
        <w:ind w:leftChars="0" w:left="57"/>
      </w:pPr>
    </w:tblStylePr>
  </w:style>
  <w:style w:type="paragraph" w:customStyle="1" w:styleId="Default">
    <w:name w:val="Default"/>
    <w:rsid w:val="00103EEA"/>
    <w:pPr>
      <w:widowControl w:val="0"/>
      <w:autoSpaceDE w:val="0"/>
      <w:autoSpaceDN w:val="0"/>
      <w:adjustRightInd w:val="0"/>
      <w:spacing w:after="0" w:line="240" w:lineRule="auto"/>
    </w:pPr>
    <w:rPr>
      <w:rFonts w:ascii="Times New Roman" w:eastAsia="Calibri" w:hAnsi="Times New Roman" w:cs="Times New Roman"/>
      <w:color w:val="000000"/>
      <w:sz w:val="24"/>
      <w:szCs w:val="24"/>
      <w:lang w:val="el-GR" w:eastAsia="el-GR"/>
    </w:rPr>
  </w:style>
  <w:style w:type="paragraph" w:styleId="ListParagraph">
    <w:name w:val="List Paragraph"/>
    <w:basedOn w:val="Normal"/>
    <w:link w:val="ListParagraphChar"/>
    <w:uiPriority w:val="34"/>
    <w:qFormat/>
    <w:rsid w:val="00103EEA"/>
    <w:pPr>
      <w:ind w:left="720"/>
    </w:pPr>
  </w:style>
  <w:style w:type="paragraph" w:customStyle="1" w:styleId="FRABodyTextnumbered">
    <w:name w:val="(FRA) Body Text numbered"/>
    <w:basedOn w:val="FRABasicStyle"/>
    <w:rsid w:val="00103EEA"/>
    <w:pPr>
      <w:tabs>
        <w:tab w:val="num" w:pos="567"/>
      </w:tabs>
      <w:spacing w:after="240"/>
      <w:ind w:left="567" w:hanging="283"/>
    </w:pPr>
  </w:style>
  <w:style w:type="paragraph" w:customStyle="1" w:styleId="FRANumberedLista">
    <w:name w:val="(FRA) Numbered List a)"/>
    <w:basedOn w:val="Normal"/>
    <w:rsid w:val="00103EEA"/>
    <w:pPr>
      <w:spacing w:before="120" w:after="240"/>
      <w:ind w:left="907" w:hanging="907"/>
      <w:contextualSpacing/>
    </w:pPr>
  </w:style>
  <w:style w:type="paragraph" w:styleId="BalloonText">
    <w:name w:val="Balloon Text"/>
    <w:basedOn w:val="Normal"/>
    <w:link w:val="BalloonTextChar"/>
    <w:uiPriority w:val="99"/>
    <w:semiHidden/>
    <w:rsid w:val="00012154"/>
    <w:rPr>
      <w:rFonts w:ascii="Tahoma" w:hAnsi="Tahoma" w:cs="Tahoma"/>
      <w:sz w:val="16"/>
      <w:szCs w:val="16"/>
    </w:rPr>
  </w:style>
  <w:style w:type="character" w:customStyle="1" w:styleId="BalloonTextChar">
    <w:name w:val="Balloon Text Char"/>
    <w:link w:val="BalloonText"/>
    <w:uiPriority w:val="99"/>
    <w:semiHidden/>
    <w:rsid w:val="00012154"/>
    <w:rPr>
      <w:rFonts w:ascii="Tahoma" w:eastAsia="Calibri" w:hAnsi="Tahoma" w:cs="Tahoma"/>
      <w:sz w:val="16"/>
      <w:szCs w:val="16"/>
    </w:rPr>
  </w:style>
  <w:style w:type="character" w:customStyle="1" w:styleId="Heading1Char">
    <w:name w:val="Heading 1 Char"/>
    <w:link w:val="Heading1"/>
    <w:uiPriority w:val="9"/>
    <w:rsid w:val="00012154"/>
    <w:rPr>
      <w:rFonts w:eastAsia="Times New Roman"/>
      <w:b/>
      <w:bCs/>
      <w:sz w:val="32"/>
      <w:szCs w:val="32"/>
      <w:lang w:val="en-US"/>
    </w:rPr>
  </w:style>
  <w:style w:type="paragraph" w:customStyle="1" w:styleId="FRAPageNumberRight">
    <w:name w:val="(FRA) Page Number Right"/>
    <w:basedOn w:val="FRABodyText"/>
    <w:rsid w:val="00012154"/>
    <w:pPr>
      <w:jc w:val="right"/>
    </w:pPr>
  </w:style>
  <w:style w:type="paragraph" w:customStyle="1" w:styleId="FRAListNumbered">
    <w:name w:val="(FRA) List Numbered"/>
    <w:basedOn w:val="FRABodyText"/>
    <w:qFormat/>
    <w:rsid w:val="00012154"/>
    <w:pPr>
      <w:numPr>
        <w:ilvl w:val="4"/>
        <w:numId w:val="1"/>
      </w:numPr>
    </w:pPr>
  </w:style>
  <w:style w:type="paragraph" w:customStyle="1" w:styleId="FRATableHeaderRow">
    <w:name w:val="(FRA) Table Header Row"/>
    <w:next w:val="FRATableRowHead"/>
    <w:qFormat/>
    <w:rsid w:val="00012154"/>
    <w:pPr>
      <w:spacing w:before="60" w:after="60" w:line="240" w:lineRule="auto"/>
      <w:jc w:val="center"/>
    </w:pPr>
    <w:rPr>
      <w:rFonts w:ascii="Arial" w:eastAsia="Times New Roman" w:hAnsi="Arial" w:cs="Times New Roman"/>
      <w:b/>
    </w:rPr>
  </w:style>
  <w:style w:type="paragraph" w:customStyle="1" w:styleId="FRAHeading4Unnumbered">
    <w:name w:val="(FRA) Heading 4 Unnumbered"/>
    <w:basedOn w:val="FRAHeading3"/>
    <w:next w:val="FRABodyText"/>
    <w:autoRedefine/>
    <w:qFormat/>
    <w:rsid w:val="00012154"/>
    <w:pPr>
      <w:numPr>
        <w:ilvl w:val="3"/>
      </w:numPr>
      <w:tabs>
        <w:tab w:val="left" w:pos="0"/>
      </w:tabs>
      <w:outlineLvl w:val="3"/>
    </w:pPr>
    <w:rPr>
      <w:rFonts w:ascii="Times New Roman" w:hAnsi="Times New Roman"/>
      <w:sz w:val="22"/>
    </w:rPr>
  </w:style>
  <w:style w:type="paragraph" w:customStyle="1" w:styleId="FRATableTitle">
    <w:name w:val="(FRA) Table Title"/>
    <w:basedOn w:val="FRAHeading1"/>
    <w:next w:val="FRATableHeaderRow"/>
    <w:qFormat/>
    <w:rsid w:val="00012154"/>
    <w:pPr>
      <w:numPr>
        <w:numId w:val="0"/>
      </w:numPr>
      <w:jc w:val="center"/>
    </w:pPr>
    <w:rPr>
      <w:rFonts w:eastAsia="Times New Roman"/>
      <w:sz w:val="22"/>
      <w:szCs w:val="20"/>
    </w:rPr>
  </w:style>
  <w:style w:type="numbering" w:customStyle="1" w:styleId="FRAHeadings">
    <w:name w:val="(FRA) Headings"/>
    <w:uiPriority w:val="99"/>
    <w:rsid w:val="00012154"/>
    <w:pPr>
      <w:numPr>
        <w:numId w:val="1"/>
      </w:numPr>
    </w:pPr>
  </w:style>
  <w:style w:type="paragraph" w:customStyle="1" w:styleId="FRAListBullet">
    <w:name w:val="(FRA) List Bullet"/>
    <w:basedOn w:val="FRABodyText"/>
    <w:qFormat/>
    <w:rsid w:val="00012154"/>
    <w:pPr>
      <w:numPr>
        <w:ilvl w:val="5"/>
        <w:numId w:val="1"/>
      </w:numPr>
    </w:pPr>
  </w:style>
  <w:style w:type="paragraph" w:customStyle="1" w:styleId="FRATableNote">
    <w:name w:val="(FRA) Table Note"/>
    <w:basedOn w:val="FRABodyText"/>
    <w:next w:val="FRABodyText"/>
    <w:qFormat/>
    <w:rsid w:val="00012154"/>
    <w:pPr>
      <w:keepNext/>
      <w:spacing w:before="60" w:after="60"/>
      <w:ind w:left="562" w:right="562"/>
    </w:pPr>
    <w:rPr>
      <w:rFonts w:ascii="Arial" w:eastAsia="Times New Roman" w:hAnsi="Arial"/>
      <w:i/>
      <w:sz w:val="20"/>
      <w:szCs w:val="20"/>
    </w:rPr>
  </w:style>
  <w:style w:type="paragraph" w:customStyle="1" w:styleId="FRATableRowHead">
    <w:name w:val="(FRA) Table Row Head"/>
    <w:basedOn w:val="FRABodyText"/>
    <w:next w:val="FRATableText"/>
    <w:qFormat/>
    <w:rsid w:val="00012154"/>
    <w:pPr>
      <w:spacing w:before="60" w:after="60"/>
      <w:ind w:left="113"/>
      <w:jc w:val="left"/>
    </w:pPr>
    <w:rPr>
      <w:rFonts w:ascii="Arial" w:eastAsia="Times New Roman" w:hAnsi="Arial"/>
      <w:b/>
      <w:sz w:val="20"/>
      <w:szCs w:val="20"/>
    </w:rPr>
  </w:style>
  <w:style w:type="paragraph" w:customStyle="1" w:styleId="FRATableText">
    <w:name w:val="(FRA) Table Text"/>
    <w:basedOn w:val="FRABodyText"/>
    <w:qFormat/>
    <w:rsid w:val="00012154"/>
  </w:style>
  <w:style w:type="paragraph" w:customStyle="1" w:styleId="FRABlockQuote">
    <w:name w:val="(FRA) Block Quote"/>
    <w:basedOn w:val="FRABodyText"/>
    <w:next w:val="FRABodyText"/>
    <w:qFormat/>
    <w:rsid w:val="00012154"/>
    <w:pPr>
      <w:spacing w:before="240"/>
      <w:ind w:left="907" w:right="907"/>
    </w:pPr>
    <w:rPr>
      <w:i/>
      <w:szCs w:val="24"/>
      <w:lang w:val="en-US"/>
    </w:rPr>
  </w:style>
  <w:style w:type="paragraph" w:customStyle="1" w:styleId="FRATextbox">
    <w:name w:val="(FRA) Textbox"/>
    <w:basedOn w:val="FRABodyText"/>
    <w:qFormat/>
    <w:rsid w:val="00012154"/>
    <w:pPr>
      <w:pBdr>
        <w:top w:val="single" w:sz="4" w:space="4" w:color="auto" w:shadow="1"/>
        <w:left w:val="single" w:sz="4" w:space="4" w:color="auto" w:shadow="1"/>
        <w:bottom w:val="single" w:sz="4" w:space="4" w:color="auto" w:shadow="1"/>
        <w:right w:val="single" w:sz="4" w:space="4" w:color="auto" w:shadow="1"/>
      </w:pBdr>
      <w:spacing w:before="240" w:line="276" w:lineRule="auto"/>
    </w:pPr>
    <w:rPr>
      <w:lang w:val="en-US"/>
    </w:rPr>
  </w:style>
  <w:style w:type="paragraph" w:customStyle="1" w:styleId="TextboxTitle">
    <w:name w:val="Textbox Title"/>
    <w:basedOn w:val="Title"/>
    <w:next w:val="FRATextbox"/>
    <w:semiHidden/>
    <w:locked/>
    <w:rsid w:val="00012154"/>
    <w:pPr>
      <w:pBdr>
        <w:top w:val="single" w:sz="4" w:space="1" w:color="auto"/>
        <w:left w:val="single" w:sz="4" w:space="4" w:color="auto"/>
        <w:bottom w:val="single" w:sz="4" w:space="1" w:color="auto"/>
        <w:right w:val="single" w:sz="4" w:space="4" w:color="auto"/>
      </w:pBdr>
      <w:spacing w:after="200" w:line="276" w:lineRule="auto"/>
    </w:pPr>
    <w:rPr>
      <w:rFonts w:ascii="Arial" w:eastAsia="Calibri" w:hAnsi="Arial"/>
    </w:rPr>
  </w:style>
  <w:style w:type="paragraph" w:styleId="Title">
    <w:name w:val="Title"/>
    <w:basedOn w:val="Normal"/>
    <w:next w:val="Normal"/>
    <w:link w:val="TitleChar"/>
    <w:uiPriority w:val="10"/>
    <w:qFormat/>
    <w:rsid w:val="00012154"/>
    <w:pPr>
      <w:spacing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012154"/>
    <w:rPr>
      <w:rFonts w:ascii="Cambria" w:eastAsia="Times New Roman" w:hAnsi="Cambria" w:cs="Times New Roman"/>
      <w:b/>
      <w:bCs/>
      <w:kern w:val="28"/>
      <w:sz w:val="32"/>
      <w:szCs w:val="32"/>
    </w:rPr>
  </w:style>
  <w:style w:type="paragraph" w:customStyle="1" w:styleId="FRATextboxTitle">
    <w:name w:val="(FRA) Textbox Title"/>
    <w:basedOn w:val="FRATitle"/>
    <w:next w:val="FRATextbox"/>
    <w:qFormat/>
    <w:rsid w:val="00012154"/>
    <w:pPr>
      <w:pBdr>
        <w:top w:val="single" w:sz="4" w:space="4" w:color="auto" w:shadow="1"/>
        <w:left w:val="single" w:sz="4" w:space="4" w:color="auto" w:shadow="1"/>
        <w:bottom w:val="single" w:sz="4" w:space="4" w:color="auto" w:shadow="1"/>
        <w:right w:val="single" w:sz="4" w:space="4" w:color="auto" w:shadow="1"/>
      </w:pBdr>
      <w:spacing w:before="240" w:after="0"/>
    </w:pPr>
    <w:rPr>
      <w:bCs w:val="0"/>
      <w:kern w:val="28"/>
      <w:sz w:val="28"/>
      <w:u w:val="none"/>
      <w:lang w:val="en-US"/>
    </w:rPr>
  </w:style>
  <w:style w:type="paragraph" w:customStyle="1" w:styleId="FRAFigureTitle">
    <w:name w:val="(FRA) Figure Title"/>
    <w:basedOn w:val="FRATableTitle"/>
    <w:next w:val="FRAFigureNote"/>
    <w:qFormat/>
    <w:rsid w:val="00012154"/>
  </w:style>
  <w:style w:type="paragraph" w:customStyle="1" w:styleId="FRAFigureNote">
    <w:name w:val="(FRA) Figure Note"/>
    <w:basedOn w:val="FRATableNote"/>
    <w:next w:val="FRABodyText"/>
    <w:qFormat/>
    <w:rsid w:val="00012154"/>
  </w:style>
  <w:style w:type="character" w:styleId="PlaceholderText">
    <w:name w:val="Placeholder Text"/>
    <w:uiPriority w:val="99"/>
    <w:semiHidden/>
    <w:rsid w:val="00012154"/>
    <w:rPr>
      <w:color w:val="808080"/>
    </w:rPr>
  </w:style>
  <w:style w:type="paragraph" w:styleId="FootnoteText">
    <w:name w:val="footnote text"/>
    <w:basedOn w:val="Normal"/>
    <w:link w:val="FootnoteTextChar"/>
    <w:uiPriority w:val="99"/>
    <w:semiHidden/>
    <w:rsid w:val="00012154"/>
    <w:rPr>
      <w:sz w:val="20"/>
      <w:szCs w:val="20"/>
    </w:rPr>
  </w:style>
  <w:style w:type="character" w:customStyle="1" w:styleId="FootnoteTextChar">
    <w:name w:val="Footnote Text Char"/>
    <w:basedOn w:val="DefaultParagraphFont"/>
    <w:link w:val="FootnoteText"/>
    <w:uiPriority w:val="99"/>
    <w:semiHidden/>
    <w:rsid w:val="00012154"/>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012154"/>
    <w:rPr>
      <w:vertAlign w:val="superscript"/>
    </w:rPr>
  </w:style>
  <w:style w:type="paragraph" w:customStyle="1" w:styleId="FRAFootnoteText">
    <w:name w:val="(FRA) Footnote Text"/>
    <w:basedOn w:val="FRABodyText"/>
    <w:qFormat/>
    <w:rsid w:val="00012154"/>
    <w:rPr>
      <w:sz w:val="18"/>
      <w:lang w:val="en-US" w:eastAsia="en-GB"/>
    </w:rPr>
  </w:style>
  <w:style w:type="character" w:customStyle="1" w:styleId="FRAFootnoteReference">
    <w:name w:val="(FRA) Footnote Reference"/>
    <w:rsid w:val="00012154"/>
    <w:rPr>
      <w:rFonts w:ascii="Times New Roman" w:hAnsi="Times New Roman"/>
      <w:sz w:val="18"/>
      <w:vertAlign w:val="superscript"/>
    </w:rPr>
  </w:style>
  <w:style w:type="paragraph" w:customStyle="1" w:styleId="FRAInstructionsforAuthors">
    <w:name w:val="(FRA) Instructions for Authors"/>
    <w:basedOn w:val="FRABodyText"/>
    <w:next w:val="FRABodyText"/>
    <w:semiHidden/>
    <w:rsid w:val="00012154"/>
    <w:rPr>
      <w:rFonts w:ascii="Arial" w:hAnsi="Arial"/>
      <w:b/>
      <w:bCs/>
      <w:sz w:val="28"/>
    </w:rPr>
  </w:style>
  <w:style w:type="paragraph" w:customStyle="1" w:styleId="FRAHeading2Instructions">
    <w:name w:val="(FRA) Heading 2 + Instructions"/>
    <w:basedOn w:val="FRAHeading2"/>
    <w:next w:val="FRABlockQuote"/>
    <w:semiHidden/>
    <w:rsid w:val="00012154"/>
    <w:rPr>
      <w:b w:val="0"/>
    </w:rPr>
  </w:style>
  <w:style w:type="paragraph" w:styleId="CommentSubject">
    <w:name w:val="annotation subject"/>
    <w:basedOn w:val="CommentText"/>
    <w:next w:val="CommentText"/>
    <w:link w:val="CommentSubjectChar"/>
    <w:uiPriority w:val="99"/>
    <w:semiHidden/>
    <w:unhideWhenUsed/>
    <w:rsid w:val="00A30C9C"/>
    <w:rPr>
      <w:b/>
      <w:bCs/>
    </w:rPr>
  </w:style>
  <w:style w:type="character" w:customStyle="1" w:styleId="CommentSubjectChar">
    <w:name w:val="Comment Subject Char"/>
    <w:basedOn w:val="CommentTextChar"/>
    <w:link w:val="CommentSubject"/>
    <w:uiPriority w:val="99"/>
    <w:semiHidden/>
    <w:rsid w:val="00A30C9C"/>
    <w:rPr>
      <w:rFonts w:ascii="Times New Roman" w:eastAsia="Calibri" w:hAnsi="Times New Roman" w:cs="Times New Roman"/>
      <w:b/>
      <w:bCs/>
      <w:sz w:val="20"/>
      <w:szCs w:val="20"/>
      <w:lang w:val="en-GB" w:bidi="en-US"/>
    </w:rPr>
  </w:style>
  <w:style w:type="character" w:styleId="FollowedHyperlink">
    <w:name w:val="FollowedHyperlink"/>
    <w:basedOn w:val="DefaultParagraphFont"/>
    <w:uiPriority w:val="99"/>
    <w:semiHidden/>
    <w:unhideWhenUsed/>
    <w:rsid w:val="00E100B4"/>
    <w:rPr>
      <w:color w:val="800080" w:themeColor="followedHyperlink"/>
      <w:u w:val="single"/>
    </w:rPr>
  </w:style>
  <w:style w:type="paragraph" w:styleId="Header">
    <w:name w:val="header"/>
    <w:basedOn w:val="Normal"/>
    <w:link w:val="HeaderChar"/>
    <w:unhideWhenUsed/>
    <w:rsid w:val="007F7418"/>
    <w:pPr>
      <w:tabs>
        <w:tab w:val="center" w:pos="4513"/>
        <w:tab w:val="right" w:pos="9026"/>
      </w:tabs>
    </w:pPr>
  </w:style>
  <w:style w:type="character" w:customStyle="1" w:styleId="HeaderChar">
    <w:name w:val="Header Char"/>
    <w:basedOn w:val="DefaultParagraphFont"/>
    <w:link w:val="Header"/>
    <w:rsid w:val="007F7418"/>
    <w:rPr>
      <w:lang w:val="en-GB"/>
    </w:rPr>
  </w:style>
  <w:style w:type="paragraph" w:customStyle="1" w:styleId="FRAFigureandTableContent">
    <w:name w:val="(FRA) Figure and Table Content"/>
    <w:basedOn w:val="Normal"/>
    <w:qFormat/>
    <w:rsid w:val="00262F84"/>
    <w:rPr>
      <w:lang w:bidi="en-US"/>
    </w:rPr>
  </w:style>
  <w:style w:type="paragraph" w:styleId="EndnoteText">
    <w:name w:val="endnote text"/>
    <w:basedOn w:val="Normal"/>
    <w:link w:val="EndnoteTextChar"/>
    <w:uiPriority w:val="99"/>
    <w:semiHidden/>
    <w:unhideWhenUsed/>
    <w:rsid w:val="00BE336D"/>
  </w:style>
  <w:style w:type="character" w:customStyle="1" w:styleId="EndnoteTextChar">
    <w:name w:val="Endnote Text Char"/>
    <w:basedOn w:val="DefaultParagraphFont"/>
    <w:link w:val="EndnoteText"/>
    <w:uiPriority w:val="99"/>
    <w:semiHidden/>
    <w:rsid w:val="00BE336D"/>
    <w:rPr>
      <w:rFonts w:ascii="Times New Roman" w:eastAsia="Times New Roman" w:hAnsi="Times New Roman" w:cs="Times New Roman"/>
      <w:sz w:val="20"/>
      <w:szCs w:val="20"/>
      <w:lang w:val="fr-FR"/>
    </w:rPr>
  </w:style>
  <w:style w:type="character" w:styleId="EndnoteReference">
    <w:name w:val="endnote reference"/>
    <w:basedOn w:val="DefaultParagraphFont"/>
    <w:uiPriority w:val="99"/>
    <w:semiHidden/>
    <w:unhideWhenUsed/>
    <w:rsid w:val="00BE336D"/>
    <w:rPr>
      <w:vertAlign w:val="superscript"/>
    </w:rPr>
  </w:style>
  <w:style w:type="table" w:customStyle="1" w:styleId="TableGrid1">
    <w:name w:val="Table Grid1"/>
    <w:basedOn w:val="TableNormal"/>
    <w:next w:val="TableGrid"/>
    <w:rsid w:val="00FE76DB"/>
    <w:pPr>
      <w:spacing w:before="60" w:after="60" w:line="240" w:lineRule="auto"/>
    </w:pPr>
    <w:rPr>
      <w:rFonts w:ascii="Times New Roman" w:eastAsia="Times New Roman" w:hAnsi="Times New Roman" w:cs="Times New Roman"/>
      <w:szCs w:val="24"/>
      <w:lang w:eastAsia="en-IE"/>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center"/>
      </w:pPr>
      <w:rPr>
        <w:rFonts w:ascii="Times New Roman" w:hAnsi="Times New Roman"/>
        <w:b/>
        <w:sz w:val="22"/>
      </w:rPr>
    </w:tblStylePr>
    <w:tblStylePr w:type="firstCol">
      <w:pPr>
        <w:wordWrap/>
        <w:ind w:leftChars="0" w:left="57"/>
      </w:pPr>
      <w:rPr>
        <w:rFonts w:ascii="Times New Roman" w:hAnsi="Times New Roman"/>
        <w:b/>
        <w:sz w:val="22"/>
      </w:rPr>
    </w:tblStylePr>
    <w:tblStylePr w:type="band1Horz">
      <w:pPr>
        <w:wordWrap/>
        <w:ind w:leftChars="0" w:left="57"/>
      </w:pPr>
    </w:tblStylePr>
    <w:tblStylePr w:type="band2Horz">
      <w:pPr>
        <w:wordWrap/>
        <w:ind w:leftChars="0" w:left="57"/>
      </w:pPr>
    </w:tblStylePr>
  </w:style>
  <w:style w:type="paragraph" w:styleId="NormalWeb">
    <w:name w:val="Normal (Web)"/>
    <w:basedOn w:val="Normal"/>
    <w:uiPriority w:val="99"/>
    <w:unhideWhenUsed/>
    <w:rsid w:val="00530DDA"/>
    <w:pPr>
      <w:spacing w:before="150" w:after="150"/>
      <w:ind w:left="675" w:right="525"/>
    </w:pPr>
    <w:rPr>
      <w:rFonts w:eastAsia="Times New Roman"/>
      <w:sz w:val="19"/>
      <w:szCs w:val="19"/>
      <w:lang w:eastAsia="en-IE"/>
    </w:rPr>
  </w:style>
  <w:style w:type="character" w:styleId="Strong">
    <w:name w:val="Strong"/>
    <w:basedOn w:val="DefaultParagraphFont"/>
    <w:uiPriority w:val="22"/>
    <w:qFormat/>
    <w:rsid w:val="002A3057"/>
    <w:rPr>
      <w:b/>
      <w:bCs/>
    </w:rPr>
  </w:style>
  <w:style w:type="character" w:customStyle="1" w:styleId="hps">
    <w:name w:val="hps"/>
    <w:basedOn w:val="DefaultParagraphFont"/>
    <w:rsid w:val="002A3057"/>
  </w:style>
  <w:style w:type="character" w:styleId="Emphasis">
    <w:name w:val="Emphasis"/>
    <w:basedOn w:val="DefaultParagraphFont"/>
    <w:uiPriority w:val="20"/>
    <w:qFormat/>
    <w:rsid w:val="002A3057"/>
    <w:rPr>
      <w:i/>
      <w:iCs/>
    </w:rPr>
  </w:style>
  <w:style w:type="character" w:customStyle="1" w:styleId="shorttext">
    <w:name w:val="short_text"/>
    <w:basedOn w:val="DefaultParagraphFont"/>
    <w:rsid w:val="002A3057"/>
  </w:style>
  <w:style w:type="character" w:customStyle="1" w:styleId="st1">
    <w:name w:val="st1"/>
    <w:basedOn w:val="DefaultParagraphFont"/>
    <w:rsid w:val="002A3057"/>
  </w:style>
  <w:style w:type="table" w:customStyle="1" w:styleId="TableGrid2">
    <w:name w:val="Table Grid2"/>
    <w:basedOn w:val="TableNormal"/>
    <w:next w:val="TableGrid"/>
    <w:uiPriority w:val="59"/>
    <w:rsid w:val="004423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RABodyTextChar">
    <w:name w:val="(FRA) Body Text Char"/>
    <w:basedOn w:val="DefaultParagraphFont"/>
    <w:link w:val="FRABodyText"/>
    <w:rsid w:val="00FB4642"/>
    <w:rPr>
      <w:rFonts w:ascii="Times New Roman" w:eastAsia="Calibri" w:hAnsi="Times New Roman" w:cs="Times New Roman"/>
      <w:lang w:val="en-GB" w:bidi="en-US"/>
    </w:rPr>
  </w:style>
  <w:style w:type="table" w:styleId="MediumShading1-Accent1">
    <w:name w:val="Medium Shading 1 Accent 1"/>
    <w:basedOn w:val="TableNormal"/>
    <w:uiPriority w:val="63"/>
    <w:rsid w:val="009779FB"/>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GridTable5Dark-Accent11">
    <w:name w:val="Grid Table 5 Dark - Accent 11"/>
    <w:basedOn w:val="TableNormal"/>
    <w:uiPriority w:val="50"/>
    <w:rsid w:val="00215EC7"/>
    <w:pPr>
      <w:spacing w:after="0"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ableGrid3">
    <w:name w:val="Table Grid3"/>
    <w:basedOn w:val="TableNormal"/>
    <w:next w:val="TableGrid"/>
    <w:uiPriority w:val="59"/>
    <w:rsid w:val="008F71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F0E4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735BC2"/>
    <w:rPr>
      <w:b/>
      <w:bCs/>
      <w:i/>
      <w:iCs/>
      <w:spacing w:val="5"/>
    </w:rPr>
  </w:style>
  <w:style w:type="paragraph" w:styleId="Revision">
    <w:name w:val="Revision"/>
    <w:hidden/>
    <w:uiPriority w:val="99"/>
    <w:semiHidden/>
    <w:rsid w:val="00811D45"/>
    <w:pPr>
      <w:spacing w:after="0" w:line="240" w:lineRule="auto"/>
    </w:pPr>
    <w:rPr>
      <w:lang w:val="en-GB"/>
    </w:rPr>
  </w:style>
  <w:style w:type="character" w:customStyle="1" w:styleId="Heading2Char">
    <w:name w:val="Heading 2 Char"/>
    <w:basedOn w:val="DefaultParagraphFont"/>
    <w:link w:val="Heading2"/>
    <w:uiPriority w:val="9"/>
    <w:semiHidden/>
    <w:rsid w:val="00491679"/>
    <w:rPr>
      <w:rFonts w:asciiTheme="majorHAnsi" w:eastAsiaTheme="majorEastAsia" w:hAnsiTheme="majorHAnsi" w:cstheme="majorBidi"/>
      <w:color w:val="365F91" w:themeColor="accent1" w:themeShade="BF"/>
      <w:sz w:val="26"/>
      <w:szCs w:val="26"/>
      <w:lang w:val="en-GB"/>
    </w:rPr>
  </w:style>
  <w:style w:type="paragraph" w:styleId="TOCHeading">
    <w:name w:val="TOC Heading"/>
    <w:basedOn w:val="Heading1"/>
    <w:next w:val="Normal"/>
    <w:uiPriority w:val="39"/>
    <w:unhideWhenUsed/>
    <w:qFormat/>
    <w:rsid w:val="003561FC"/>
    <w:pPr>
      <w:keepLines/>
      <w:numPr>
        <w:numId w:val="0"/>
      </w:numPr>
      <w:spacing w:after="0"/>
      <w:outlineLvl w:val="9"/>
    </w:pPr>
    <w:rPr>
      <w:rFonts w:asciiTheme="majorHAnsi" w:eastAsiaTheme="majorEastAsia" w:hAnsiTheme="majorHAnsi" w:cstheme="majorBidi"/>
      <w:b w:val="0"/>
      <w:bCs w:val="0"/>
      <w:color w:val="365F91" w:themeColor="accent1" w:themeShade="BF"/>
    </w:rPr>
  </w:style>
  <w:style w:type="paragraph" w:styleId="TOC1">
    <w:name w:val="toc 1"/>
    <w:basedOn w:val="Normal"/>
    <w:next w:val="Normal"/>
    <w:autoRedefine/>
    <w:uiPriority w:val="39"/>
    <w:unhideWhenUsed/>
    <w:rsid w:val="000848D3"/>
    <w:pPr>
      <w:tabs>
        <w:tab w:val="left" w:pos="880"/>
        <w:tab w:val="right" w:leader="dot" w:pos="8380"/>
      </w:tabs>
      <w:spacing w:after="100"/>
    </w:pPr>
  </w:style>
  <w:style w:type="paragraph" w:styleId="TOC2">
    <w:name w:val="toc 2"/>
    <w:basedOn w:val="Normal"/>
    <w:next w:val="Normal"/>
    <w:autoRedefine/>
    <w:uiPriority w:val="39"/>
    <w:unhideWhenUsed/>
    <w:rsid w:val="00D96B2D"/>
    <w:pPr>
      <w:spacing w:after="100"/>
      <w:ind w:left="220"/>
    </w:pPr>
    <w:rPr>
      <w:rFonts w:eastAsiaTheme="minorEastAsia"/>
    </w:rPr>
  </w:style>
  <w:style w:type="paragraph" w:styleId="TOC3">
    <w:name w:val="toc 3"/>
    <w:basedOn w:val="Normal"/>
    <w:next w:val="Normal"/>
    <w:autoRedefine/>
    <w:uiPriority w:val="39"/>
    <w:unhideWhenUsed/>
    <w:rsid w:val="00D96B2D"/>
    <w:pPr>
      <w:spacing w:after="100"/>
      <w:ind w:left="440"/>
    </w:pPr>
    <w:rPr>
      <w:rFonts w:eastAsiaTheme="minorEastAsia"/>
    </w:rPr>
  </w:style>
  <w:style w:type="table" w:customStyle="1" w:styleId="TableGrid5">
    <w:name w:val="Table Grid5"/>
    <w:basedOn w:val="TableNormal"/>
    <w:next w:val="TableGrid"/>
    <w:uiPriority w:val="39"/>
    <w:rsid w:val="004345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4345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3">
    <w:name w:val="Light List Accent 3"/>
    <w:basedOn w:val="TableNormal"/>
    <w:uiPriority w:val="61"/>
    <w:rsid w:val="001D4737"/>
    <w:pPr>
      <w:spacing w:after="0" w:line="240" w:lineRule="auto"/>
    </w:pPr>
    <w:rPr>
      <w:rFonts w:eastAsiaTheme="minorEastAsia"/>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TableGrid7">
    <w:name w:val="Table Grid7"/>
    <w:basedOn w:val="TableNormal"/>
    <w:next w:val="TableGrid"/>
    <w:uiPriority w:val="39"/>
    <w:rsid w:val="00525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07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E407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586B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363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363C9B"/>
    <w:pPr>
      <w:spacing w:before="60" w:after="60" w:line="240" w:lineRule="auto"/>
    </w:pPr>
    <w:rPr>
      <w:rFonts w:ascii="Times New Roman" w:eastAsia="Times New Roman" w:hAnsi="Times New Roman" w:cs="Times New Roman"/>
      <w:szCs w:val="20"/>
      <w:lang w:eastAsia="en-IE"/>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center"/>
      </w:pPr>
      <w:rPr>
        <w:rFonts w:ascii="Times New Roman" w:hAnsi="Times New Roman"/>
        <w:b/>
        <w:sz w:val="22"/>
      </w:rPr>
    </w:tblStylePr>
    <w:tblStylePr w:type="firstCol">
      <w:pPr>
        <w:wordWrap/>
        <w:ind w:leftChars="0" w:left="57"/>
      </w:pPr>
      <w:rPr>
        <w:rFonts w:ascii="Times New Roman" w:hAnsi="Times New Roman"/>
        <w:b/>
        <w:sz w:val="22"/>
      </w:rPr>
    </w:tblStylePr>
    <w:tblStylePr w:type="band1Horz">
      <w:pPr>
        <w:wordWrap/>
        <w:ind w:leftChars="0" w:left="57"/>
      </w:pPr>
    </w:tblStylePr>
    <w:tblStylePr w:type="band2Horz">
      <w:pPr>
        <w:wordWrap/>
        <w:ind w:leftChars="0" w:left="57"/>
      </w:pPr>
    </w:tblStylePr>
  </w:style>
  <w:style w:type="character" w:customStyle="1" w:styleId="ListParagraphChar">
    <w:name w:val="List Paragraph Char"/>
    <w:basedOn w:val="DefaultParagraphFont"/>
    <w:link w:val="ListParagraph"/>
    <w:uiPriority w:val="34"/>
    <w:locked/>
    <w:rsid w:val="00043841"/>
    <w:rPr>
      <w:rFonts w:ascii="Times New Roman" w:eastAsia="Calibri" w:hAnsi="Times New Roman" w:cs="Times New Roman"/>
    </w:rPr>
  </w:style>
  <w:style w:type="character" w:customStyle="1" w:styleId="UnresolvedMention1">
    <w:name w:val="Unresolved Mention1"/>
    <w:basedOn w:val="DefaultParagraphFont"/>
    <w:uiPriority w:val="99"/>
    <w:rsid w:val="00B24F12"/>
    <w:rPr>
      <w:color w:val="605E5C"/>
      <w:shd w:val="clear" w:color="auto" w:fill="E1DFDD"/>
    </w:rPr>
  </w:style>
  <w:style w:type="paragraph" w:customStyle="1" w:styleId="FRANormal">
    <w:name w:val="(FRA) Normal"/>
    <w:qFormat/>
    <w:rsid w:val="00B85942"/>
    <w:pPr>
      <w:spacing w:after="120" w:line="240" w:lineRule="auto"/>
      <w:jc w:val="both"/>
    </w:pPr>
    <w:rPr>
      <w:rFonts w:eastAsia="Calibri" w:cs="Times New Roman"/>
      <w:sz w:val="20"/>
      <w:lang w:val="en-GB" w:bidi="en-US"/>
    </w:rPr>
  </w:style>
  <w:style w:type="character" w:customStyle="1" w:styleId="UnresolvedMention2">
    <w:name w:val="Unresolved Mention2"/>
    <w:basedOn w:val="DefaultParagraphFont"/>
    <w:uiPriority w:val="99"/>
    <w:semiHidden/>
    <w:unhideWhenUsed/>
    <w:rsid w:val="007025A5"/>
    <w:rPr>
      <w:color w:val="605E5C"/>
      <w:shd w:val="clear" w:color="auto" w:fill="E1DFDD"/>
    </w:rPr>
  </w:style>
  <w:style w:type="character" w:customStyle="1" w:styleId="Heading3Char">
    <w:name w:val="Heading 3 Char"/>
    <w:basedOn w:val="DefaultParagraphFont"/>
    <w:link w:val="Heading3"/>
    <w:uiPriority w:val="9"/>
    <w:semiHidden/>
    <w:rsid w:val="000338C2"/>
    <w:rPr>
      <w:rFonts w:asciiTheme="majorHAnsi" w:eastAsiaTheme="majorEastAsia" w:hAnsiTheme="majorHAnsi" w:cstheme="majorBidi"/>
      <w:color w:val="243F60" w:themeColor="accent1" w:themeShade="7F"/>
      <w:sz w:val="24"/>
      <w:szCs w:val="24"/>
    </w:rPr>
  </w:style>
  <w:style w:type="character" w:customStyle="1" w:styleId="Heading5Char">
    <w:name w:val="Heading 5 Char"/>
    <w:basedOn w:val="DefaultParagraphFont"/>
    <w:link w:val="Heading5"/>
    <w:uiPriority w:val="9"/>
    <w:semiHidden/>
    <w:rsid w:val="000338C2"/>
    <w:rPr>
      <w:rFonts w:asciiTheme="majorHAnsi" w:eastAsiaTheme="majorEastAsia" w:hAnsiTheme="majorHAnsi" w:cstheme="majorBidi"/>
      <w:color w:val="365F91" w:themeColor="accent1" w:themeShade="BF"/>
    </w:rPr>
  </w:style>
  <w:style w:type="paragraph" w:customStyle="1" w:styleId="buttons">
    <w:name w:val="buttons"/>
    <w:basedOn w:val="Normal"/>
    <w:rsid w:val="00204DA7"/>
    <w:pPr>
      <w:spacing w:before="100" w:beforeAutospacing="1" w:after="100" w:afterAutospacing="1"/>
    </w:pPr>
    <w:rPr>
      <w:rFonts w:eastAsia="Times New Roman"/>
      <w:sz w:val="24"/>
      <w:szCs w:val="24"/>
    </w:rPr>
  </w:style>
  <w:style w:type="character" w:customStyle="1" w:styleId="tlid-translation">
    <w:name w:val="tlid-translation"/>
    <w:basedOn w:val="DefaultParagraphFont"/>
    <w:rsid w:val="009C28A5"/>
  </w:style>
  <w:style w:type="paragraph" w:customStyle="1" w:styleId="Title1">
    <w:name w:val="Title1"/>
    <w:basedOn w:val="Normal"/>
    <w:rsid w:val="009C28A5"/>
    <w:pPr>
      <w:spacing w:before="100" w:beforeAutospacing="1" w:after="100" w:afterAutospacing="1"/>
    </w:pPr>
    <w:rPr>
      <w:rFonts w:eastAsia="Times New Roman"/>
      <w:sz w:val="24"/>
      <w:szCs w:val="24"/>
    </w:rPr>
  </w:style>
  <w:style w:type="character" w:customStyle="1" w:styleId="legaldocreference">
    <w:name w:val="legaldocreference"/>
    <w:basedOn w:val="DefaultParagraphFont"/>
    <w:rsid w:val="00614BFD"/>
  </w:style>
  <w:style w:type="character" w:customStyle="1" w:styleId="newdocreference">
    <w:name w:val="newdocreference"/>
    <w:basedOn w:val="DefaultParagraphFont"/>
    <w:rsid w:val="00614BFD"/>
  </w:style>
  <w:style w:type="character" w:customStyle="1" w:styleId="UnresolvedMention3">
    <w:name w:val="Unresolved Mention3"/>
    <w:basedOn w:val="DefaultParagraphFont"/>
    <w:uiPriority w:val="99"/>
    <w:semiHidden/>
    <w:unhideWhenUsed/>
    <w:rsid w:val="00270290"/>
    <w:rPr>
      <w:color w:val="605E5C"/>
      <w:shd w:val="clear" w:color="auto" w:fill="E1DFDD"/>
    </w:rPr>
  </w:style>
  <w:style w:type="character" w:customStyle="1" w:styleId="UnresolvedMention4">
    <w:name w:val="Unresolved Mention4"/>
    <w:basedOn w:val="DefaultParagraphFont"/>
    <w:uiPriority w:val="99"/>
    <w:semiHidden/>
    <w:unhideWhenUsed/>
    <w:rsid w:val="008B23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148007">
      <w:bodyDiv w:val="1"/>
      <w:marLeft w:val="0"/>
      <w:marRight w:val="0"/>
      <w:marTop w:val="0"/>
      <w:marBottom w:val="0"/>
      <w:divBdr>
        <w:top w:val="none" w:sz="0" w:space="0" w:color="auto"/>
        <w:left w:val="none" w:sz="0" w:space="0" w:color="auto"/>
        <w:bottom w:val="none" w:sz="0" w:space="0" w:color="auto"/>
        <w:right w:val="none" w:sz="0" w:space="0" w:color="auto"/>
      </w:divBdr>
      <w:divsChild>
        <w:div w:id="1675110373">
          <w:marLeft w:val="0"/>
          <w:marRight w:val="0"/>
          <w:marTop w:val="0"/>
          <w:marBottom w:val="0"/>
          <w:divBdr>
            <w:top w:val="none" w:sz="0" w:space="0" w:color="auto"/>
            <w:left w:val="none" w:sz="0" w:space="0" w:color="auto"/>
            <w:bottom w:val="none" w:sz="0" w:space="0" w:color="auto"/>
            <w:right w:val="none" w:sz="0" w:space="0" w:color="auto"/>
          </w:divBdr>
        </w:div>
      </w:divsChild>
    </w:div>
    <w:div w:id="529994675">
      <w:bodyDiv w:val="1"/>
      <w:marLeft w:val="0"/>
      <w:marRight w:val="0"/>
      <w:marTop w:val="0"/>
      <w:marBottom w:val="0"/>
      <w:divBdr>
        <w:top w:val="none" w:sz="0" w:space="0" w:color="auto"/>
        <w:left w:val="none" w:sz="0" w:space="0" w:color="auto"/>
        <w:bottom w:val="none" w:sz="0" w:space="0" w:color="auto"/>
        <w:right w:val="none" w:sz="0" w:space="0" w:color="auto"/>
      </w:divBdr>
      <w:divsChild>
        <w:div w:id="1910847669">
          <w:marLeft w:val="0"/>
          <w:marRight w:val="0"/>
          <w:marTop w:val="0"/>
          <w:marBottom w:val="0"/>
          <w:divBdr>
            <w:top w:val="none" w:sz="0" w:space="0" w:color="auto"/>
            <w:left w:val="none" w:sz="0" w:space="0" w:color="auto"/>
            <w:bottom w:val="none" w:sz="0" w:space="0" w:color="auto"/>
            <w:right w:val="none" w:sz="0" w:space="0" w:color="auto"/>
          </w:divBdr>
          <w:divsChild>
            <w:div w:id="771587948">
              <w:marLeft w:val="0"/>
              <w:marRight w:val="0"/>
              <w:marTop w:val="0"/>
              <w:marBottom w:val="0"/>
              <w:divBdr>
                <w:top w:val="none" w:sz="0" w:space="0" w:color="auto"/>
                <w:left w:val="none" w:sz="0" w:space="0" w:color="auto"/>
                <w:bottom w:val="none" w:sz="0" w:space="0" w:color="auto"/>
                <w:right w:val="none" w:sz="0" w:space="0" w:color="auto"/>
              </w:divBdr>
              <w:divsChild>
                <w:div w:id="189557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83261">
      <w:bodyDiv w:val="1"/>
      <w:marLeft w:val="0"/>
      <w:marRight w:val="0"/>
      <w:marTop w:val="0"/>
      <w:marBottom w:val="0"/>
      <w:divBdr>
        <w:top w:val="none" w:sz="0" w:space="0" w:color="auto"/>
        <w:left w:val="none" w:sz="0" w:space="0" w:color="auto"/>
        <w:bottom w:val="none" w:sz="0" w:space="0" w:color="auto"/>
        <w:right w:val="none" w:sz="0" w:space="0" w:color="auto"/>
      </w:divBdr>
    </w:div>
    <w:div w:id="848174435">
      <w:bodyDiv w:val="1"/>
      <w:marLeft w:val="0"/>
      <w:marRight w:val="0"/>
      <w:marTop w:val="0"/>
      <w:marBottom w:val="0"/>
      <w:divBdr>
        <w:top w:val="none" w:sz="0" w:space="0" w:color="auto"/>
        <w:left w:val="none" w:sz="0" w:space="0" w:color="auto"/>
        <w:bottom w:val="none" w:sz="0" w:space="0" w:color="auto"/>
        <w:right w:val="none" w:sz="0" w:space="0" w:color="auto"/>
      </w:divBdr>
    </w:div>
    <w:div w:id="850725009">
      <w:bodyDiv w:val="1"/>
      <w:marLeft w:val="0"/>
      <w:marRight w:val="0"/>
      <w:marTop w:val="0"/>
      <w:marBottom w:val="0"/>
      <w:divBdr>
        <w:top w:val="none" w:sz="0" w:space="0" w:color="auto"/>
        <w:left w:val="none" w:sz="0" w:space="0" w:color="auto"/>
        <w:bottom w:val="none" w:sz="0" w:space="0" w:color="auto"/>
        <w:right w:val="none" w:sz="0" w:space="0" w:color="auto"/>
      </w:divBdr>
      <w:divsChild>
        <w:div w:id="616716106">
          <w:marLeft w:val="0"/>
          <w:marRight w:val="0"/>
          <w:marTop w:val="0"/>
          <w:marBottom w:val="0"/>
          <w:divBdr>
            <w:top w:val="none" w:sz="0" w:space="0" w:color="auto"/>
            <w:left w:val="none" w:sz="0" w:space="0" w:color="auto"/>
            <w:bottom w:val="none" w:sz="0" w:space="0" w:color="auto"/>
            <w:right w:val="none" w:sz="0" w:space="0" w:color="auto"/>
          </w:divBdr>
        </w:div>
        <w:div w:id="1042941086">
          <w:marLeft w:val="0"/>
          <w:marRight w:val="0"/>
          <w:marTop w:val="0"/>
          <w:marBottom w:val="0"/>
          <w:divBdr>
            <w:top w:val="none" w:sz="0" w:space="0" w:color="auto"/>
            <w:left w:val="none" w:sz="0" w:space="0" w:color="auto"/>
            <w:bottom w:val="none" w:sz="0" w:space="0" w:color="auto"/>
            <w:right w:val="none" w:sz="0" w:space="0" w:color="auto"/>
          </w:divBdr>
          <w:divsChild>
            <w:div w:id="1623028281">
              <w:marLeft w:val="0"/>
              <w:marRight w:val="0"/>
              <w:marTop w:val="0"/>
              <w:marBottom w:val="0"/>
              <w:divBdr>
                <w:top w:val="none" w:sz="0" w:space="0" w:color="auto"/>
                <w:left w:val="none" w:sz="0" w:space="0" w:color="auto"/>
                <w:bottom w:val="none" w:sz="0" w:space="0" w:color="auto"/>
                <w:right w:val="none" w:sz="0" w:space="0" w:color="auto"/>
              </w:divBdr>
            </w:div>
            <w:div w:id="61757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420837">
      <w:bodyDiv w:val="1"/>
      <w:marLeft w:val="0"/>
      <w:marRight w:val="0"/>
      <w:marTop w:val="0"/>
      <w:marBottom w:val="0"/>
      <w:divBdr>
        <w:top w:val="none" w:sz="0" w:space="0" w:color="auto"/>
        <w:left w:val="none" w:sz="0" w:space="0" w:color="auto"/>
        <w:bottom w:val="none" w:sz="0" w:space="0" w:color="auto"/>
        <w:right w:val="none" w:sz="0" w:space="0" w:color="auto"/>
      </w:divBdr>
    </w:div>
    <w:div w:id="944574397">
      <w:bodyDiv w:val="1"/>
      <w:marLeft w:val="0"/>
      <w:marRight w:val="0"/>
      <w:marTop w:val="0"/>
      <w:marBottom w:val="0"/>
      <w:divBdr>
        <w:top w:val="none" w:sz="0" w:space="0" w:color="auto"/>
        <w:left w:val="none" w:sz="0" w:space="0" w:color="auto"/>
        <w:bottom w:val="none" w:sz="0" w:space="0" w:color="auto"/>
        <w:right w:val="none" w:sz="0" w:space="0" w:color="auto"/>
      </w:divBdr>
      <w:divsChild>
        <w:div w:id="1599828958">
          <w:marLeft w:val="0"/>
          <w:marRight w:val="0"/>
          <w:marTop w:val="345"/>
          <w:marBottom w:val="0"/>
          <w:divBdr>
            <w:top w:val="none" w:sz="0" w:space="0" w:color="auto"/>
            <w:left w:val="none" w:sz="0" w:space="0" w:color="auto"/>
            <w:bottom w:val="none" w:sz="0" w:space="0" w:color="auto"/>
            <w:right w:val="none" w:sz="0" w:space="0" w:color="auto"/>
          </w:divBdr>
          <w:divsChild>
            <w:div w:id="23098859">
              <w:marLeft w:val="0"/>
              <w:marRight w:val="0"/>
              <w:marTop w:val="0"/>
              <w:marBottom w:val="0"/>
              <w:divBdr>
                <w:top w:val="none" w:sz="0" w:space="0" w:color="auto"/>
                <w:left w:val="none" w:sz="0" w:space="0" w:color="auto"/>
                <w:bottom w:val="none" w:sz="0" w:space="0" w:color="auto"/>
                <w:right w:val="none" w:sz="0" w:space="0" w:color="auto"/>
              </w:divBdr>
              <w:divsChild>
                <w:div w:id="1802110009">
                  <w:marLeft w:val="0"/>
                  <w:marRight w:val="-14400"/>
                  <w:marTop w:val="0"/>
                  <w:marBottom w:val="0"/>
                  <w:divBdr>
                    <w:top w:val="none" w:sz="0" w:space="0" w:color="auto"/>
                    <w:left w:val="none" w:sz="0" w:space="0" w:color="auto"/>
                    <w:bottom w:val="none" w:sz="0" w:space="0" w:color="auto"/>
                    <w:right w:val="none" w:sz="0" w:space="0" w:color="auto"/>
                  </w:divBdr>
                  <w:divsChild>
                    <w:div w:id="1853451885">
                      <w:marLeft w:val="0"/>
                      <w:marRight w:val="0"/>
                      <w:marTop w:val="0"/>
                      <w:marBottom w:val="0"/>
                      <w:divBdr>
                        <w:top w:val="none" w:sz="0" w:space="0" w:color="auto"/>
                        <w:left w:val="none" w:sz="0" w:space="0" w:color="auto"/>
                        <w:bottom w:val="none" w:sz="0" w:space="0" w:color="auto"/>
                        <w:right w:val="none" w:sz="0" w:space="0" w:color="auto"/>
                      </w:divBdr>
                      <w:divsChild>
                        <w:div w:id="1540580785">
                          <w:marLeft w:val="0"/>
                          <w:marRight w:val="0"/>
                          <w:marTop w:val="0"/>
                          <w:marBottom w:val="0"/>
                          <w:divBdr>
                            <w:top w:val="none" w:sz="0" w:space="0" w:color="auto"/>
                            <w:left w:val="none" w:sz="0" w:space="0" w:color="auto"/>
                            <w:bottom w:val="none" w:sz="0" w:space="0" w:color="auto"/>
                            <w:right w:val="none" w:sz="0" w:space="0" w:color="auto"/>
                          </w:divBdr>
                          <w:divsChild>
                            <w:div w:id="96411009">
                              <w:marLeft w:val="0"/>
                              <w:marRight w:val="0"/>
                              <w:marTop w:val="0"/>
                              <w:marBottom w:val="0"/>
                              <w:divBdr>
                                <w:top w:val="none" w:sz="0" w:space="0" w:color="auto"/>
                                <w:left w:val="none" w:sz="0" w:space="0" w:color="auto"/>
                                <w:bottom w:val="none" w:sz="0" w:space="0" w:color="auto"/>
                                <w:right w:val="none" w:sz="0" w:space="0" w:color="auto"/>
                              </w:divBdr>
                              <w:divsChild>
                                <w:div w:id="826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7130341">
      <w:bodyDiv w:val="1"/>
      <w:marLeft w:val="0"/>
      <w:marRight w:val="0"/>
      <w:marTop w:val="0"/>
      <w:marBottom w:val="0"/>
      <w:divBdr>
        <w:top w:val="none" w:sz="0" w:space="0" w:color="auto"/>
        <w:left w:val="none" w:sz="0" w:space="0" w:color="auto"/>
        <w:bottom w:val="none" w:sz="0" w:space="0" w:color="auto"/>
        <w:right w:val="none" w:sz="0" w:space="0" w:color="auto"/>
      </w:divBdr>
    </w:div>
    <w:div w:id="1411079732">
      <w:bodyDiv w:val="1"/>
      <w:marLeft w:val="0"/>
      <w:marRight w:val="0"/>
      <w:marTop w:val="0"/>
      <w:marBottom w:val="0"/>
      <w:divBdr>
        <w:top w:val="none" w:sz="0" w:space="0" w:color="auto"/>
        <w:left w:val="none" w:sz="0" w:space="0" w:color="auto"/>
        <w:bottom w:val="none" w:sz="0" w:space="0" w:color="auto"/>
        <w:right w:val="none" w:sz="0" w:space="0" w:color="auto"/>
      </w:divBdr>
    </w:div>
    <w:div w:id="1506479361">
      <w:bodyDiv w:val="1"/>
      <w:marLeft w:val="0"/>
      <w:marRight w:val="0"/>
      <w:marTop w:val="0"/>
      <w:marBottom w:val="0"/>
      <w:divBdr>
        <w:top w:val="none" w:sz="0" w:space="0" w:color="auto"/>
        <w:left w:val="none" w:sz="0" w:space="0" w:color="auto"/>
        <w:bottom w:val="none" w:sz="0" w:space="0" w:color="auto"/>
        <w:right w:val="none" w:sz="0" w:space="0" w:color="auto"/>
      </w:divBdr>
    </w:div>
    <w:div w:id="1509444793">
      <w:bodyDiv w:val="1"/>
      <w:marLeft w:val="0"/>
      <w:marRight w:val="0"/>
      <w:marTop w:val="0"/>
      <w:marBottom w:val="0"/>
      <w:divBdr>
        <w:top w:val="none" w:sz="0" w:space="0" w:color="auto"/>
        <w:left w:val="none" w:sz="0" w:space="0" w:color="auto"/>
        <w:bottom w:val="none" w:sz="0" w:space="0" w:color="auto"/>
        <w:right w:val="none" w:sz="0" w:space="0" w:color="auto"/>
      </w:divBdr>
      <w:divsChild>
        <w:div w:id="737557146">
          <w:marLeft w:val="0"/>
          <w:marRight w:val="0"/>
          <w:marTop w:val="0"/>
          <w:marBottom w:val="0"/>
          <w:divBdr>
            <w:top w:val="none" w:sz="0" w:space="0" w:color="auto"/>
            <w:left w:val="none" w:sz="0" w:space="0" w:color="auto"/>
            <w:bottom w:val="none" w:sz="0" w:space="0" w:color="auto"/>
            <w:right w:val="none" w:sz="0" w:space="0" w:color="auto"/>
          </w:divBdr>
        </w:div>
        <w:div w:id="1139230539">
          <w:marLeft w:val="0"/>
          <w:marRight w:val="0"/>
          <w:marTop w:val="0"/>
          <w:marBottom w:val="0"/>
          <w:divBdr>
            <w:top w:val="none" w:sz="0" w:space="0" w:color="auto"/>
            <w:left w:val="none" w:sz="0" w:space="0" w:color="auto"/>
            <w:bottom w:val="none" w:sz="0" w:space="0" w:color="auto"/>
            <w:right w:val="none" w:sz="0" w:space="0" w:color="auto"/>
          </w:divBdr>
        </w:div>
        <w:div w:id="340087692">
          <w:marLeft w:val="0"/>
          <w:marRight w:val="0"/>
          <w:marTop w:val="0"/>
          <w:marBottom w:val="0"/>
          <w:divBdr>
            <w:top w:val="none" w:sz="0" w:space="0" w:color="auto"/>
            <w:left w:val="none" w:sz="0" w:space="0" w:color="auto"/>
            <w:bottom w:val="none" w:sz="0" w:space="0" w:color="auto"/>
            <w:right w:val="none" w:sz="0" w:space="0" w:color="auto"/>
          </w:divBdr>
        </w:div>
        <w:div w:id="1387222929">
          <w:marLeft w:val="0"/>
          <w:marRight w:val="0"/>
          <w:marTop w:val="0"/>
          <w:marBottom w:val="0"/>
          <w:divBdr>
            <w:top w:val="none" w:sz="0" w:space="0" w:color="auto"/>
            <w:left w:val="none" w:sz="0" w:space="0" w:color="auto"/>
            <w:bottom w:val="none" w:sz="0" w:space="0" w:color="auto"/>
            <w:right w:val="none" w:sz="0" w:space="0" w:color="auto"/>
          </w:divBdr>
        </w:div>
        <w:div w:id="51463694">
          <w:marLeft w:val="0"/>
          <w:marRight w:val="0"/>
          <w:marTop w:val="0"/>
          <w:marBottom w:val="0"/>
          <w:divBdr>
            <w:top w:val="none" w:sz="0" w:space="0" w:color="auto"/>
            <w:left w:val="none" w:sz="0" w:space="0" w:color="auto"/>
            <w:bottom w:val="none" w:sz="0" w:space="0" w:color="auto"/>
            <w:right w:val="none" w:sz="0" w:space="0" w:color="auto"/>
          </w:divBdr>
        </w:div>
        <w:div w:id="307396436">
          <w:marLeft w:val="0"/>
          <w:marRight w:val="0"/>
          <w:marTop w:val="0"/>
          <w:marBottom w:val="0"/>
          <w:divBdr>
            <w:top w:val="none" w:sz="0" w:space="0" w:color="auto"/>
            <w:left w:val="none" w:sz="0" w:space="0" w:color="auto"/>
            <w:bottom w:val="none" w:sz="0" w:space="0" w:color="auto"/>
            <w:right w:val="none" w:sz="0" w:space="0" w:color="auto"/>
          </w:divBdr>
        </w:div>
      </w:divsChild>
    </w:div>
    <w:div w:id="1629310895">
      <w:bodyDiv w:val="1"/>
      <w:marLeft w:val="0"/>
      <w:marRight w:val="0"/>
      <w:marTop w:val="0"/>
      <w:marBottom w:val="0"/>
      <w:divBdr>
        <w:top w:val="none" w:sz="0" w:space="0" w:color="auto"/>
        <w:left w:val="none" w:sz="0" w:space="0" w:color="auto"/>
        <w:bottom w:val="none" w:sz="0" w:space="0" w:color="auto"/>
        <w:right w:val="none" w:sz="0" w:space="0" w:color="auto"/>
      </w:divBdr>
    </w:div>
    <w:div w:id="1635788020">
      <w:bodyDiv w:val="1"/>
      <w:marLeft w:val="0"/>
      <w:marRight w:val="0"/>
      <w:marTop w:val="0"/>
      <w:marBottom w:val="0"/>
      <w:divBdr>
        <w:top w:val="none" w:sz="0" w:space="0" w:color="auto"/>
        <w:left w:val="none" w:sz="0" w:space="0" w:color="auto"/>
        <w:bottom w:val="none" w:sz="0" w:space="0" w:color="auto"/>
        <w:right w:val="none" w:sz="0" w:space="0" w:color="auto"/>
      </w:divBdr>
      <w:divsChild>
        <w:div w:id="627591736">
          <w:marLeft w:val="0"/>
          <w:marRight w:val="0"/>
          <w:marTop w:val="345"/>
          <w:marBottom w:val="0"/>
          <w:divBdr>
            <w:top w:val="none" w:sz="0" w:space="0" w:color="auto"/>
            <w:left w:val="none" w:sz="0" w:space="0" w:color="auto"/>
            <w:bottom w:val="none" w:sz="0" w:space="0" w:color="auto"/>
            <w:right w:val="none" w:sz="0" w:space="0" w:color="auto"/>
          </w:divBdr>
          <w:divsChild>
            <w:div w:id="1363632853">
              <w:marLeft w:val="0"/>
              <w:marRight w:val="0"/>
              <w:marTop w:val="0"/>
              <w:marBottom w:val="0"/>
              <w:divBdr>
                <w:top w:val="none" w:sz="0" w:space="0" w:color="auto"/>
                <w:left w:val="none" w:sz="0" w:space="0" w:color="auto"/>
                <w:bottom w:val="none" w:sz="0" w:space="0" w:color="auto"/>
                <w:right w:val="none" w:sz="0" w:space="0" w:color="auto"/>
              </w:divBdr>
              <w:divsChild>
                <w:div w:id="206067410">
                  <w:marLeft w:val="0"/>
                  <w:marRight w:val="-14400"/>
                  <w:marTop w:val="0"/>
                  <w:marBottom w:val="0"/>
                  <w:divBdr>
                    <w:top w:val="none" w:sz="0" w:space="0" w:color="auto"/>
                    <w:left w:val="none" w:sz="0" w:space="0" w:color="auto"/>
                    <w:bottom w:val="none" w:sz="0" w:space="0" w:color="auto"/>
                    <w:right w:val="none" w:sz="0" w:space="0" w:color="auto"/>
                  </w:divBdr>
                  <w:divsChild>
                    <w:div w:id="1150752703">
                      <w:marLeft w:val="0"/>
                      <w:marRight w:val="0"/>
                      <w:marTop w:val="0"/>
                      <w:marBottom w:val="0"/>
                      <w:divBdr>
                        <w:top w:val="none" w:sz="0" w:space="0" w:color="auto"/>
                        <w:left w:val="none" w:sz="0" w:space="0" w:color="auto"/>
                        <w:bottom w:val="none" w:sz="0" w:space="0" w:color="auto"/>
                        <w:right w:val="none" w:sz="0" w:space="0" w:color="auto"/>
                      </w:divBdr>
                      <w:divsChild>
                        <w:div w:id="1347748502">
                          <w:marLeft w:val="0"/>
                          <w:marRight w:val="0"/>
                          <w:marTop w:val="0"/>
                          <w:marBottom w:val="0"/>
                          <w:divBdr>
                            <w:top w:val="none" w:sz="0" w:space="0" w:color="auto"/>
                            <w:left w:val="none" w:sz="0" w:space="0" w:color="auto"/>
                            <w:bottom w:val="none" w:sz="0" w:space="0" w:color="auto"/>
                            <w:right w:val="none" w:sz="0" w:space="0" w:color="auto"/>
                          </w:divBdr>
                          <w:divsChild>
                            <w:div w:id="688021703">
                              <w:marLeft w:val="0"/>
                              <w:marRight w:val="0"/>
                              <w:marTop w:val="0"/>
                              <w:marBottom w:val="0"/>
                              <w:divBdr>
                                <w:top w:val="none" w:sz="0" w:space="0" w:color="auto"/>
                                <w:left w:val="none" w:sz="0" w:space="0" w:color="auto"/>
                                <w:bottom w:val="none" w:sz="0" w:space="0" w:color="auto"/>
                                <w:right w:val="none" w:sz="0" w:space="0" w:color="auto"/>
                              </w:divBdr>
                              <w:divsChild>
                                <w:div w:id="56630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3649761">
      <w:bodyDiv w:val="1"/>
      <w:marLeft w:val="0"/>
      <w:marRight w:val="0"/>
      <w:marTop w:val="0"/>
      <w:marBottom w:val="0"/>
      <w:divBdr>
        <w:top w:val="none" w:sz="0" w:space="0" w:color="auto"/>
        <w:left w:val="none" w:sz="0" w:space="0" w:color="auto"/>
        <w:bottom w:val="none" w:sz="0" w:space="0" w:color="auto"/>
        <w:right w:val="none" w:sz="0" w:space="0" w:color="auto"/>
      </w:divBdr>
    </w:div>
    <w:div w:id="1972857513">
      <w:bodyDiv w:val="1"/>
      <w:marLeft w:val="0"/>
      <w:marRight w:val="0"/>
      <w:marTop w:val="0"/>
      <w:marBottom w:val="0"/>
      <w:divBdr>
        <w:top w:val="none" w:sz="0" w:space="0" w:color="auto"/>
        <w:left w:val="none" w:sz="0" w:space="0" w:color="auto"/>
        <w:bottom w:val="none" w:sz="0" w:space="0" w:color="auto"/>
        <w:right w:val="none" w:sz="0" w:space="0" w:color="auto"/>
      </w:divBdr>
    </w:div>
    <w:div w:id="2003048604">
      <w:bodyDiv w:val="1"/>
      <w:marLeft w:val="0"/>
      <w:marRight w:val="0"/>
      <w:marTop w:val="0"/>
      <w:marBottom w:val="0"/>
      <w:divBdr>
        <w:top w:val="none" w:sz="0" w:space="0" w:color="auto"/>
        <w:left w:val="none" w:sz="0" w:space="0" w:color="auto"/>
        <w:bottom w:val="none" w:sz="0" w:space="0" w:color="auto"/>
        <w:right w:val="none" w:sz="0" w:space="0" w:color="auto"/>
      </w:divBdr>
      <w:divsChild>
        <w:div w:id="1807627688">
          <w:marLeft w:val="0"/>
          <w:marRight w:val="0"/>
          <w:marTop w:val="0"/>
          <w:marBottom w:val="0"/>
          <w:divBdr>
            <w:top w:val="none" w:sz="0" w:space="0" w:color="auto"/>
            <w:left w:val="none" w:sz="0" w:space="0" w:color="auto"/>
            <w:bottom w:val="none" w:sz="0" w:space="0" w:color="auto"/>
            <w:right w:val="none" w:sz="0" w:space="0" w:color="auto"/>
          </w:divBdr>
          <w:divsChild>
            <w:div w:id="17044775">
              <w:marLeft w:val="0"/>
              <w:marRight w:val="0"/>
              <w:marTop w:val="0"/>
              <w:marBottom w:val="0"/>
              <w:divBdr>
                <w:top w:val="none" w:sz="0" w:space="0" w:color="auto"/>
                <w:left w:val="none" w:sz="0" w:space="0" w:color="auto"/>
                <w:bottom w:val="none" w:sz="0" w:space="0" w:color="auto"/>
                <w:right w:val="none" w:sz="0" w:space="0" w:color="auto"/>
              </w:divBdr>
            </w:div>
            <w:div w:id="211111948">
              <w:marLeft w:val="0"/>
              <w:marRight w:val="0"/>
              <w:marTop w:val="0"/>
              <w:marBottom w:val="0"/>
              <w:divBdr>
                <w:top w:val="none" w:sz="0" w:space="0" w:color="auto"/>
                <w:left w:val="none" w:sz="0" w:space="0" w:color="auto"/>
                <w:bottom w:val="none" w:sz="0" w:space="0" w:color="auto"/>
                <w:right w:val="none" w:sz="0" w:space="0" w:color="auto"/>
              </w:divBdr>
            </w:div>
            <w:div w:id="1768228810">
              <w:marLeft w:val="0"/>
              <w:marRight w:val="0"/>
              <w:marTop w:val="0"/>
              <w:marBottom w:val="0"/>
              <w:divBdr>
                <w:top w:val="none" w:sz="0" w:space="0" w:color="auto"/>
                <w:left w:val="none" w:sz="0" w:space="0" w:color="auto"/>
                <w:bottom w:val="none" w:sz="0" w:space="0" w:color="auto"/>
                <w:right w:val="none" w:sz="0" w:space="0" w:color="auto"/>
              </w:divBdr>
            </w:div>
            <w:div w:id="1483620118">
              <w:marLeft w:val="0"/>
              <w:marRight w:val="0"/>
              <w:marTop w:val="0"/>
              <w:marBottom w:val="0"/>
              <w:divBdr>
                <w:top w:val="none" w:sz="0" w:space="0" w:color="auto"/>
                <w:left w:val="none" w:sz="0" w:space="0" w:color="auto"/>
                <w:bottom w:val="none" w:sz="0" w:space="0" w:color="auto"/>
                <w:right w:val="none" w:sz="0" w:space="0" w:color="auto"/>
              </w:divBdr>
            </w:div>
            <w:div w:id="1028026615">
              <w:marLeft w:val="0"/>
              <w:marRight w:val="0"/>
              <w:marTop w:val="0"/>
              <w:marBottom w:val="0"/>
              <w:divBdr>
                <w:top w:val="none" w:sz="0" w:space="0" w:color="auto"/>
                <w:left w:val="none" w:sz="0" w:space="0" w:color="auto"/>
                <w:bottom w:val="none" w:sz="0" w:space="0" w:color="auto"/>
                <w:right w:val="none" w:sz="0" w:space="0" w:color="auto"/>
              </w:divBdr>
            </w:div>
          </w:divsChild>
        </w:div>
        <w:div w:id="48308728">
          <w:marLeft w:val="0"/>
          <w:marRight w:val="0"/>
          <w:marTop w:val="0"/>
          <w:marBottom w:val="0"/>
          <w:divBdr>
            <w:top w:val="none" w:sz="0" w:space="0" w:color="auto"/>
            <w:left w:val="none" w:sz="0" w:space="0" w:color="auto"/>
            <w:bottom w:val="none" w:sz="0" w:space="0" w:color="auto"/>
            <w:right w:val="none" w:sz="0" w:space="0" w:color="auto"/>
          </w:divBdr>
        </w:div>
        <w:div w:id="118837744">
          <w:marLeft w:val="0"/>
          <w:marRight w:val="0"/>
          <w:marTop w:val="0"/>
          <w:marBottom w:val="0"/>
          <w:divBdr>
            <w:top w:val="none" w:sz="0" w:space="0" w:color="auto"/>
            <w:left w:val="none" w:sz="0" w:space="0" w:color="auto"/>
            <w:bottom w:val="none" w:sz="0" w:space="0" w:color="auto"/>
            <w:right w:val="none" w:sz="0" w:space="0" w:color="auto"/>
          </w:divBdr>
          <w:divsChild>
            <w:div w:id="653145272">
              <w:marLeft w:val="0"/>
              <w:marRight w:val="0"/>
              <w:marTop w:val="0"/>
              <w:marBottom w:val="0"/>
              <w:divBdr>
                <w:top w:val="none" w:sz="0" w:space="0" w:color="auto"/>
                <w:left w:val="none" w:sz="0" w:space="0" w:color="auto"/>
                <w:bottom w:val="none" w:sz="0" w:space="0" w:color="auto"/>
                <w:right w:val="none" w:sz="0" w:space="0" w:color="auto"/>
              </w:divBdr>
            </w:div>
          </w:divsChild>
        </w:div>
        <w:div w:id="155386387">
          <w:marLeft w:val="0"/>
          <w:marRight w:val="0"/>
          <w:marTop w:val="0"/>
          <w:marBottom w:val="0"/>
          <w:divBdr>
            <w:top w:val="none" w:sz="0" w:space="0" w:color="auto"/>
            <w:left w:val="none" w:sz="0" w:space="0" w:color="auto"/>
            <w:bottom w:val="none" w:sz="0" w:space="0" w:color="auto"/>
            <w:right w:val="none" w:sz="0" w:space="0" w:color="auto"/>
          </w:divBdr>
        </w:div>
        <w:div w:id="97457222">
          <w:marLeft w:val="0"/>
          <w:marRight w:val="0"/>
          <w:marTop w:val="0"/>
          <w:marBottom w:val="0"/>
          <w:divBdr>
            <w:top w:val="none" w:sz="0" w:space="0" w:color="auto"/>
            <w:left w:val="none" w:sz="0" w:space="0" w:color="auto"/>
            <w:bottom w:val="none" w:sz="0" w:space="0" w:color="auto"/>
            <w:right w:val="none" w:sz="0" w:space="0" w:color="auto"/>
          </w:divBdr>
          <w:divsChild>
            <w:div w:id="621882737">
              <w:marLeft w:val="0"/>
              <w:marRight w:val="0"/>
              <w:marTop w:val="0"/>
              <w:marBottom w:val="0"/>
              <w:divBdr>
                <w:top w:val="none" w:sz="0" w:space="0" w:color="auto"/>
                <w:left w:val="none" w:sz="0" w:space="0" w:color="auto"/>
                <w:bottom w:val="none" w:sz="0" w:space="0" w:color="auto"/>
                <w:right w:val="none" w:sz="0" w:space="0" w:color="auto"/>
              </w:divBdr>
            </w:div>
            <w:div w:id="1773745082">
              <w:marLeft w:val="0"/>
              <w:marRight w:val="0"/>
              <w:marTop w:val="0"/>
              <w:marBottom w:val="0"/>
              <w:divBdr>
                <w:top w:val="none" w:sz="0" w:space="0" w:color="auto"/>
                <w:left w:val="none" w:sz="0" w:space="0" w:color="auto"/>
                <w:bottom w:val="none" w:sz="0" w:space="0" w:color="auto"/>
                <w:right w:val="none" w:sz="0" w:space="0" w:color="auto"/>
              </w:divBdr>
            </w:div>
            <w:div w:id="1962417480">
              <w:marLeft w:val="0"/>
              <w:marRight w:val="0"/>
              <w:marTop w:val="0"/>
              <w:marBottom w:val="0"/>
              <w:divBdr>
                <w:top w:val="none" w:sz="0" w:space="0" w:color="auto"/>
                <w:left w:val="none" w:sz="0" w:space="0" w:color="auto"/>
                <w:bottom w:val="none" w:sz="0" w:space="0" w:color="auto"/>
                <w:right w:val="none" w:sz="0" w:space="0" w:color="auto"/>
              </w:divBdr>
            </w:div>
            <w:div w:id="1698316675">
              <w:marLeft w:val="0"/>
              <w:marRight w:val="0"/>
              <w:marTop w:val="0"/>
              <w:marBottom w:val="0"/>
              <w:divBdr>
                <w:top w:val="none" w:sz="0" w:space="0" w:color="auto"/>
                <w:left w:val="none" w:sz="0" w:space="0" w:color="auto"/>
                <w:bottom w:val="none" w:sz="0" w:space="0" w:color="auto"/>
                <w:right w:val="none" w:sz="0" w:space="0" w:color="auto"/>
              </w:divBdr>
            </w:div>
            <w:div w:id="1567716187">
              <w:marLeft w:val="0"/>
              <w:marRight w:val="0"/>
              <w:marTop w:val="0"/>
              <w:marBottom w:val="0"/>
              <w:divBdr>
                <w:top w:val="none" w:sz="0" w:space="0" w:color="auto"/>
                <w:left w:val="none" w:sz="0" w:space="0" w:color="auto"/>
                <w:bottom w:val="none" w:sz="0" w:space="0" w:color="auto"/>
                <w:right w:val="none" w:sz="0" w:space="0" w:color="auto"/>
              </w:divBdr>
            </w:div>
          </w:divsChild>
        </w:div>
        <w:div w:id="1605729989">
          <w:marLeft w:val="0"/>
          <w:marRight w:val="0"/>
          <w:marTop w:val="0"/>
          <w:marBottom w:val="0"/>
          <w:divBdr>
            <w:top w:val="none" w:sz="0" w:space="0" w:color="auto"/>
            <w:left w:val="none" w:sz="0" w:space="0" w:color="auto"/>
            <w:bottom w:val="none" w:sz="0" w:space="0" w:color="auto"/>
            <w:right w:val="none" w:sz="0" w:space="0" w:color="auto"/>
          </w:divBdr>
        </w:div>
        <w:div w:id="760220046">
          <w:marLeft w:val="0"/>
          <w:marRight w:val="0"/>
          <w:marTop w:val="0"/>
          <w:marBottom w:val="0"/>
          <w:divBdr>
            <w:top w:val="none" w:sz="0" w:space="0" w:color="auto"/>
            <w:left w:val="none" w:sz="0" w:space="0" w:color="auto"/>
            <w:bottom w:val="none" w:sz="0" w:space="0" w:color="auto"/>
            <w:right w:val="none" w:sz="0" w:space="0" w:color="auto"/>
          </w:divBdr>
          <w:divsChild>
            <w:div w:id="1813523634">
              <w:marLeft w:val="0"/>
              <w:marRight w:val="0"/>
              <w:marTop w:val="0"/>
              <w:marBottom w:val="0"/>
              <w:divBdr>
                <w:top w:val="none" w:sz="0" w:space="0" w:color="auto"/>
                <w:left w:val="none" w:sz="0" w:space="0" w:color="auto"/>
                <w:bottom w:val="none" w:sz="0" w:space="0" w:color="auto"/>
                <w:right w:val="none" w:sz="0" w:space="0" w:color="auto"/>
              </w:divBdr>
            </w:div>
            <w:div w:id="1072511278">
              <w:marLeft w:val="0"/>
              <w:marRight w:val="0"/>
              <w:marTop w:val="0"/>
              <w:marBottom w:val="0"/>
              <w:divBdr>
                <w:top w:val="none" w:sz="0" w:space="0" w:color="auto"/>
                <w:left w:val="none" w:sz="0" w:space="0" w:color="auto"/>
                <w:bottom w:val="none" w:sz="0" w:space="0" w:color="auto"/>
                <w:right w:val="none" w:sz="0" w:space="0" w:color="auto"/>
              </w:divBdr>
            </w:div>
            <w:div w:id="790174218">
              <w:marLeft w:val="0"/>
              <w:marRight w:val="0"/>
              <w:marTop w:val="0"/>
              <w:marBottom w:val="0"/>
              <w:divBdr>
                <w:top w:val="none" w:sz="0" w:space="0" w:color="auto"/>
                <w:left w:val="none" w:sz="0" w:space="0" w:color="auto"/>
                <w:bottom w:val="none" w:sz="0" w:space="0" w:color="auto"/>
                <w:right w:val="none" w:sz="0" w:space="0" w:color="auto"/>
              </w:divBdr>
            </w:div>
            <w:div w:id="2061436902">
              <w:marLeft w:val="0"/>
              <w:marRight w:val="0"/>
              <w:marTop w:val="0"/>
              <w:marBottom w:val="0"/>
              <w:divBdr>
                <w:top w:val="none" w:sz="0" w:space="0" w:color="auto"/>
                <w:left w:val="none" w:sz="0" w:space="0" w:color="auto"/>
                <w:bottom w:val="none" w:sz="0" w:space="0" w:color="auto"/>
                <w:right w:val="none" w:sz="0" w:space="0" w:color="auto"/>
              </w:divBdr>
            </w:div>
            <w:div w:id="496266421">
              <w:marLeft w:val="0"/>
              <w:marRight w:val="0"/>
              <w:marTop w:val="0"/>
              <w:marBottom w:val="0"/>
              <w:divBdr>
                <w:top w:val="none" w:sz="0" w:space="0" w:color="auto"/>
                <w:left w:val="none" w:sz="0" w:space="0" w:color="auto"/>
                <w:bottom w:val="none" w:sz="0" w:space="0" w:color="auto"/>
                <w:right w:val="none" w:sz="0" w:space="0" w:color="auto"/>
              </w:divBdr>
            </w:div>
            <w:div w:id="1983533297">
              <w:marLeft w:val="0"/>
              <w:marRight w:val="0"/>
              <w:marTop w:val="0"/>
              <w:marBottom w:val="0"/>
              <w:divBdr>
                <w:top w:val="none" w:sz="0" w:space="0" w:color="auto"/>
                <w:left w:val="none" w:sz="0" w:space="0" w:color="auto"/>
                <w:bottom w:val="none" w:sz="0" w:space="0" w:color="auto"/>
                <w:right w:val="none" w:sz="0" w:space="0" w:color="auto"/>
              </w:divBdr>
            </w:div>
            <w:div w:id="1580870065">
              <w:marLeft w:val="0"/>
              <w:marRight w:val="0"/>
              <w:marTop w:val="0"/>
              <w:marBottom w:val="0"/>
              <w:divBdr>
                <w:top w:val="none" w:sz="0" w:space="0" w:color="auto"/>
                <w:left w:val="none" w:sz="0" w:space="0" w:color="auto"/>
                <w:bottom w:val="none" w:sz="0" w:space="0" w:color="auto"/>
                <w:right w:val="none" w:sz="0" w:space="0" w:color="auto"/>
              </w:divBdr>
            </w:div>
            <w:div w:id="269095598">
              <w:marLeft w:val="0"/>
              <w:marRight w:val="0"/>
              <w:marTop w:val="0"/>
              <w:marBottom w:val="0"/>
              <w:divBdr>
                <w:top w:val="none" w:sz="0" w:space="0" w:color="auto"/>
                <w:left w:val="none" w:sz="0" w:space="0" w:color="auto"/>
                <w:bottom w:val="none" w:sz="0" w:space="0" w:color="auto"/>
                <w:right w:val="none" w:sz="0" w:space="0" w:color="auto"/>
              </w:divBdr>
            </w:div>
            <w:div w:id="522403679">
              <w:marLeft w:val="0"/>
              <w:marRight w:val="0"/>
              <w:marTop w:val="0"/>
              <w:marBottom w:val="0"/>
              <w:divBdr>
                <w:top w:val="none" w:sz="0" w:space="0" w:color="auto"/>
                <w:left w:val="none" w:sz="0" w:space="0" w:color="auto"/>
                <w:bottom w:val="none" w:sz="0" w:space="0" w:color="auto"/>
                <w:right w:val="none" w:sz="0" w:space="0" w:color="auto"/>
              </w:divBdr>
            </w:div>
            <w:div w:id="1244947065">
              <w:marLeft w:val="0"/>
              <w:marRight w:val="0"/>
              <w:marTop w:val="0"/>
              <w:marBottom w:val="0"/>
              <w:divBdr>
                <w:top w:val="none" w:sz="0" w:space="0" w:color="auto"/>
                <w:left w:val="none" w:sz="0" w:space="0" w:color="auto"/>
                <w:bottom w:val="none" w:sz="0" w:space="0" w:color="auto"/>
                <w:right w:val="none" w:sz="0" w:space="0" w:color="auto"/>
              </w:divBdr>
            </w:div>
            <w:div w:id="1481573718">
              <w:marLeft w:val="0"/>
              <w:marRight w:val="0"/>
              <w:marTop w:val="0"/>
              <w:marBottom w:val="0"/>
              <w:divBdr>
                <w:top w:val="none" w:sz="0" w:space="0" w:color="auto"/>
                <w:left w:val="none" w:sz="0" w:space="0" w:color="auto"/>
                <w:bottom w:val="none" w:sz="0" w:space="0" w:color="auto"/>
                <w:right w:val="none" w:sz="0" w:space="0" w:color="auto"/>
              </w:divBdr>
            </w:div>
            <w:div w:id="1243637022">
              <w:marLeft w:val="0"/>
              <w:marRight w:val="0"/>
              <w:marTop w:val="0"/>
              <w:marBottom w:val="0"/>
              <w:divBdr>
                <w:top w:val="none" w:sz="0" w:space="0" w:color="auto"/>
                <w:left w:val="none" w:sz="0" w:space="0" w:color="auto"/>
                <w:bottom w:val="none" w:sz="0" w:space="0" w:color="auto"/>
                <w:right w:val="none" w:sz="0" w:space="0" w:color="auto"/>
              </w:divBdr>
            </w:div>
            <w:div w:id="1144850687">
              <w:marLeft w:val="0"/>
              <w:marRight w:val="0"/>
              <w:marTop w:val="0"/>
              <w:marBottom w:val="0"/>
              <w:divBdr>
                <w:top w:val="none" w:sz="0" w:space="0" w:color="auto"/>
                <w:left w:val="none" w:sz="0" w:space="0" w:color="auto"/>
                <w:bottom w:val="none" w:sz="0" w:space="0" w:color="auto"/>
                <w:right w:val="none" w:sz="0" w:space="0" w:color="auto"/>
              </w:divBdr>
            </w:div>
            <w:div w:id="737899311">
              <w:marLeft w:val="0"/>
              <w:marRight w:val="0"/>
              <w:marTop w:val="0"/>
              <w:marBottom w:val="0"/>
              <w:divBdr>
                <w:top w:val="none" w:sz="0" w:space="0" w:color="auto"/>
                <w:left w:val="none" w:sz="0" w:space="0" w:color="auto"/>
                <w:bottom w:val="none" w:sz="0" w:space="0" w:color="auto"/>
                <w:right w:val="none" w:sz="0" w:space="0" w:color="auto"/>
              </w:divBdr>
            </w:div>
            <w:div w:id="2070764785">
              <w:marLeft w:val="0"/>
              <w:marRight w:val="0"/>
              <w:marTop w:val="0"/>
              <w:marBottom w:val="0"/>
              <w:divBdr>
                <w:top w:val="none" w:sz="0" w:space="0" w:color="auto"/>
                <w:left w:val="none" w:sz="0" w:space="0" w:color="auto"/>
                <w:bottom w:val="none" w:sz="0" w:space="0" w:color="auto"/>
                <w:right w:val="none" w:sz="0" w:space="0" w:color="auto"/>
              </w:divBdr>
            </w:div>
            <w:div w:id="766383400">
              <w:marLeft w:val="0"/>
              <w:marRight w:val="0"/>
              <w:marTop w:val="0"/>
              <w:marBottom w:val="0"/>
              <w:divBdr>
                <w:top w:val="none" w:sz="0" w:space="0" w:color="auto"/>
                <w:left w:val="none" w:sz="0" w:space="0" w:color="auto"/>
                <w:bottom w:val="none" w:sz="0" w:space="0" w:color="auto"/>
                <w:right w:val="none" w:sz="0" w:space="0" w:color="auto"/>
              </w:divBdr>
            </w:div>
            <w:div w:id="998656042">
              <w:marLeft w:val="0"/>
              <w:marRight w:val="0"/>
              <w:marTop w:val="0"/>
              <w:marBottom w:val="0"/>
              <w:divBdr>
                <w:top w:val="none" w:sz="0" w:space="0" w:color="auto"/>
                <w:left w:val="none" w:sz="0" w:space="0" w:color="auto"/>
                <w:bottom w:val="none" w:sz="0" w:space="0" w:color="auto"/>
                <w:right w:val="none" w:sz="0" w:space="0" w:color="auto"/>
              </w:divBdr>
            </w:div>
            <w:div w:id="100927499">
              <w:marLeft w:val="0"/>
              <w:marRight w:val="0"/>
              <w:marTop w:val="0"/>
              <w:marBottom w:val="0"/>
              <w:divBdr>
                <w:top w:val="none" w:sz="0" w:space="0" w:color="auto"/>
                <w:left w:val="none" w:sz="0" w:space="0" w:color="auto"/>
                <w:bottom w:val="none" w:sz="0" w:space="0" w:color="auto"/>
                <w:right w:val="none" w:sz="0" w:space="0" w:color="auto"/>
              </w:divBdr>
            </w:div>
            <w:div w:id="664170509">
              <w:marLeft w:val="0"/>
              <w:marRight w:val="0"/>
              <w:marTop w:val="0"/>
              <w:marBottom w:val="0"/>
              <w:divBdr>
                <w:top w:val="none" w:sz="0" w:space="0" w:color="auto"/>
                <w:left w:val="none" w:sz="0" w:space="0" w:color="auto"/>
                <w:bottom w:val="none" w:sz="0" w:space="0" w:color="auto"/>
                <w:right w:val="none" w:sz="0" w:space="0" w:color="auto"/>
              </w:divBdr>
            </w:div>
            <w:div w:id="1356617155">
              <w:marLeft w:val="0"/>
              <w:marRight w:val="0"/>
              <w:marTop w:val="0"/>
              <w:marBottom w:val="0"/>
              <w:divBdr>
                <w:top w:val="none" w:sz="0" w:space="0" w:color="auto"/>
                <w:left w:val="none" w:sz="0" w:space="0" w:color="auto"/>
                <w:bottom w:val="none" w:sz="0" w:space="0" w:color="auto"/>
                <w:right w:val="none" w:sz="0" w:space="0" w:color="auto"/>
              </w:divBdr>
            </w:div>
            <w:div w:id="1122192638">
              <w:marLeft w:val="0"/>
              <w:marRight w:val="0"/>
              <w:marTop w:val="0"/>
              <w:marBottom w:val="0"/>
              <w:divBdr>
                <w:top w:val="none" w:sz="0" w:space="0" w:color="auto"/>
                <w:left w:val="none" w:sz="0" w:space="0" w:color="auto"/>
                <w:bottom w:val="none" w:sz="0" w:space="0" w:color="auto"/>
                <w:right w:val="none" w:sz="0" w:space="0" w:color="auto"/>
              </w:divBdr>
            </w:div>
            <w:div w:id="1473715282">
              <w:marLeft w:val="0"/>
              <w:marRight w:val="0"/>
              <w:marTop w:val="0"/>
              <w:marBottom w:val="0"/>
              <w:divBdr>
                <w:top w:val="none" w:sz="0" w:space="0" w:color="auto"/>
                <w:left w:val="none" w:sz="0" w:space="0" w:color="auto"/>
                <w:bottom w:val="none" w:sz="0" w:space="0" w:color="auto"/>
                <w:right w:val="none" w:sz="0" w:space="0" w:color="auto"/>
              </w:divBdr>
            </w:div>
            <w:div w:id="380789733">
              <w:marLeft w:val="0"/>
              <w:marRight w:val="0"/>
              <w:marTop w:val="0"/>
              <w:marBottom w:val="0"/>
              <w:divBdr>
                <w:top w:val="none" w:sz="0" w:space="0" w:color="auto"/>
                <w:left w:val="none" w:sz="0" w:space="0" w:color="auto"/>
                <w:bottom w:val="none" w:sz="0" w:space="0" w:color="auto"/>
                <w:right w:val="none" w:sz="0" w:space="0" w:color="auto"/>
              </w:divBdr>
            </w:div>
            <w:div w:id="1576889602">
              <w:marLeft w:val="0"/>
              <w:marRight w:val="0"/>
              <w:marTop w:val="0"/>
              <w:marBottom w:val="0"/>
              <w:divBdr>
                <w:top w:val="none" w:sz="0" w:space="0" w:color="auto"/>
                <w:left w:val="none" w:sz="0" w:space="0" w:color="auto"/>
                <w:bottom w:val="none" w:sz="0" w:space="0" w:color="auto"/>
                <w:right w:val="none" w:sz="0" w:space="0" w:color="auto"/>
              </w:divBdr>
            </w:div>
            <w:div w:id="209151053">
              <w:marLeft w:val="0"/>
              <w:marRight w:val="0"/>
              <w:marTop w:val="0"/>
              <w:marBottom w:val="0"/>
              <w:divBdr>
                <w:top w:val="none" w:sz="0" w:space="0" w:color="auto"/>
                <w:left w:val="none" w:sz="0" w:space="0" w:color="auto"/>
                <w:bottom w:val="none" w:sz="0" w:space="0" w:color="auto"/>
                <w:right w:val="none" w:sz="0" w:space="0" w:color="auto"/>
              </w:divBdr>
            </w:div>
            <w:div w:id="352193161">
              <w:marLeft w:val="0"/>
              <w:marRight w:val="0"/>
              <w:marTop w:val="0"/>
              <w:marBottom w:val="0"/>
              <w:divBdr>
                <w:top w:val="none" w:sz="0" w:space="0" w:color="auto"/>
                <w:left w:val="none" w:sz="0" w:space="0" w:color="auto"/>
                <w:bottom w:val="none" w:sz="0" w:space="0" w:color="auto"/>
                <w:right w:val="none" w:sz="0" w:space="0" w:color="auto"/>
              </w:divBdr>
            </w:div>
          </w:divsChild>
        </w:div>
        <w:div w:id="296885476">
          <w:marLeft w:val="0"/>
          <w:marRight w:val="0"/>
          <w:marTop w:val="0"/>
          <w:marBottom w:val="0"/>
          <w:divBdr>
            <w:top w:val="none" w:sz="0" w:space="0" w:color="auto"/>
            <w:left w:val="none" w:sz="0" w:space="0" w:color="auto"/>
            <w:bottom w:val="none" w:sz="0" w:space="0" w:color="auto"/>
            <w:right w:val="none" w:sz="0" w:space="0" w:color="auto"/>
          </w:divBdr>
        </w:div>
        <w:div w:id="212279008">
          <w:marLeft w:val="0"/>
          <w:marRight w:val="0"/>
          <w:marTop w:val="0"/>
          <w:marBottom w:val="0"/>
          <w:divBdr>
            <w:top w:val="none" w:sz="0" w:space="0" w:color="auto"/>
            <w:left w:val="none" w:sz="0" w:space="0" w:color="auto"/>
            <w:bottom w:val="none" w:sz="0" w:space="0" w:color="auto"/>
            <w:right w:val="none" w:sz="0" w:space="0" w:color="auto"/>
          </w:divBdr>
          <w:divsChild>
            <w:div w:id="148963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6" Type="http://schemas.openxmlformats.org/officeDocument/2006/relationships/hyperlink" Target="https://lex.bg/en/laws/ldoc/2135501151" TargetMode="External"/><Relationship Id="rId117" Type="http://schemas.openxmlformats.org/officeDocument/2006/relationships/hyperlink" Target="https://www.safenet.bg/bg/" TargetMode="External"/><Relationship Id="rId21" Type="http://schemas.openxmlformats.org/officeDocument/2006/relationships/hyperlink" Target="https://www.lex.bg/laws/ldoc/521957377" TargetMode="External"/><Relationship Id="rId42" Type="http://schemas.openxmlformats.org/officeDocument/2006/relationships/hyperlink" Target="https://www.lex.bg/laws/ldoc/2135467374" TargetMode="External"/><Relationship Id="rId47" Type="http://schemas.openxmlformats.org/officeDocument/2006/relationships/hyperlink" Target="https://www.lex.bg/laws/ldoc/1594373121" TargetMode="External"/><Relationship Id="rId63" Type="http://schemas.openxmlformats.org/officeDocument/2006/relationships/hyperlink" Target="http://plovdiv.bg/obs/&#1076;&#1077;&#1081;&#1089;&#1090;&#1074;&#1072;&#1097;&#1080;-&#1072;&#1082;&#1090;&#1086;&#1074;&#1077;/&#1085;&#1072;&#1088;&#1077;&#1076;&#1073;&#1072;-&#1079;&#1072;-&#1091;&#1089;&#1083;&#1086;&#1074;&#1080;&#1103;&#1090;&#1072;-&#1080;-&#1088;&#1077;&#1076;&#1072;-&#1079;&#1072;-&#1091;&#1089;&#1090;&#1072;&#1085;&#1086;&#1074;/" TargetMode="External"/><Relationship Id="rId68" Type="http://schemas.openxmlformats.org/officeDocument/2006/relationships/hyperlink" Target="https://www.lex.bg/bg/laws/ldoc/2135684112" TargetMode="External"/><Relationship Id="rId84" Type="http://schemas.openxmlformats.org/officeDocument/2006/relationships/hyperlink" Target="https://www.lex.bg/laws/ldoc/2135514513" TargetMode="External"/><Relationship Id="rId89" Type="http://schemas.openxmlformats.org/officeDocument/2006/relationships/hyperlink" Target="http://strategy.bg/StrategicDocuments/View.aspx?lang=bg-BG&amp;Id=609" TargetMode="External"/><Relationship Id="rId112" Type="http://schemas.openxmlformats.org/officeDocument/2006/relationships/hyperlink" Target="https://www.google.com/url?sa=t&amp;rct=j&amp;q=&amp;esrc=s&amp;source=web&amp;cd=2&amp;cad=rja&amp;uact=8&amp;ved=2ahUKEwiB9M_M-JvkAhXDlIsKHcJgAQIQFjABegQIAxAC&amp;url=https%3A%2F%2Fantitraffic.government.bg%2Fuploads%2FUsefulInfo%2FLaw%2F1263815210.doc&amp;usg=AOvVaw0vafRXOzxglWfkFuoKsbuj" TargetMode="External"/><Relationship Id="rId133" Type="http://schemas.openxmlformats.org/officeDocument/2006/relationships/hyperlink" Target="https://www.strategy.bg/StrategicDocuments/View.aspx?lang=bg-BG&amp;Id=883" TargetMode="External"/><Relationship Id="rId138" Type="http://schemas.openxmlformats.org/officeDocument/2006/relationships/hyperlink" Target="https://www.strategy.bg/StrategicDocuments/View.aspx?lang=bg-BG&amp;Id=883" TargetMode="External"/><Relationship Id="rId154" Type="http://schemas.openxmlformats.org/officeDocument/2006/relationships/hyperlink" Target="https://www.mvr.bg/dmp/%D0%B4%D0%B5%D0%B9%D0%BD%D0%BE%D1%81%D1%82%D0%B8/%D1%84%D0%BE%D0%BD%D0%B4%D0%BE%D0%B2%D0%B5/%D1%84%D0%BE%D0%BD%D0%B4-%D1%83%D0%B1%D0%B5%D0%B6%D0%B8%D1%89%D0%B5-%D0%BC%D0%B8%D0%B3%D1%80%D0%B0%D1%86%D0%B8%D1%8F-%D0%B8-%D0%B8%D0%BD%D1%82%D0%B5%D0%B3%D1%80%D0%B0%D1%86%D0%B8%D1%8F-2014-2020" TargetMode="External"/><Relationship Id="rId159" Type="http://schemas.openxmlformats.org/officeDocument/2006/relationships/hyperlink" Target="https://www.prb.bg/media/cms_page_media/6242/&#1056;&#1044;-02-09%20&#1086;&#1090;%2030.04.2018.pdf" TargetMode="External"/><Relationship Id="rId170" Type="http://schemas.openxmlformats.org/officeDocument/2006/relationships/hyperlink" Target="https://www.strategy.bg/StrategicDocuments/View.aspx?lang=bg-BG&amp;Id=790" TargetMode="External"/><Relationship Id="rId16" Type="http://schemas.openxmlformats.org/officeDocument/2006/relationships/hyperlink" Target="https://www.mlsp.government.bg/ckfinder/userfiles/files/politiki/demografska%20politika/nacionalni%20strategicheski%20dokumenti/National_agieng_strategy_2019-2030.pdf" TargetMode="External"/><Relationship Id="rId107" Type="http://schemas.openxmlformats.org/officeDocument/2006/relationships/hyperlink" Target="http://www.lyubimets.org/index.php/2010-07-14-13-02-37/4443-2019-3" TargetMode="External"/><Relationship Id="rId11" Type="http://schemas.openxmlformats.org/officeDocument/2006/relationships/hyperlink" Target="http://www.cil.bg/userfiles/nabliudatelnitsa/Report-General-Final.pdf" TargetMode="External"/><Relationship Id="rId32" Type="http://schemas.openxmlformats.org/officeDocument/2006/relationships/hyperlink" Target="http://www.zaplatavplik.bg/" TargetMode="External"/><Relationship Id="rId37" Type="http://schemas.openxmlformats.org/officeDocument/2006/relationships/hyperlink" Target="https://www.lex.bg/laws/ldoc/521957377" TargetMode="External"/><Relationship Id="rId53" Type="http://schemas.openxmlformats.org/officeDocument/2006/relationships/hyperlink" Target="https://www.lex.bg/laws/ldoc/2134673921" TargetMode="External"/><Relationship Id="rId58" Type="http://schemas.openxmlformats.org/officeDocument/2006/relationships/hyperlink" Target="https://lex.bg/laws/ldoc/2134405633" TargetMode="External"/><Relationship Id="rId74" Type="http://schemas.openxmlformats.org/officeDocument/2006/relationships/hyperlink" Target="https://www.lex.bg/bg/laws/ldoc/2135512224" TargetMode="External"/><Relationship Id="rId79" Type="http://schemas.openxmlformats.org/officeDocument/2006/relationships/hyperlink" Target="https://lex.bg/laws/ldoc/2135475623" TargetMode="External"/><Relationship Id="rId102" Type="http://schemas.openxmlformats.org/officeDocument/2006/relationships/hyperlink" Target="https://www.mlsp.government.bg/index.php?section=PRESS2&amp;prid=65" TargetMode="External"/><Relationship Id="rId123" Type="http://schemas.openxmlformats.org/officeDocument/2006/relationships/hyperlink" Target="https://www.strategy.bg/StrategicDocuments/View.aspx?lang=bg-BG&amp;Id=790" TargetMode="External"/><Relationship Id="rId128" Type="http://schemas.openxmlformats.org/officeDocument/2006/relationships/hyperlink" Target="https://www.google.com/url?sa=t&amp;rct=j&amp;q=&amp;esrc=s&amp;source=web&amp;cd=1&amp;cad=rja&amp;uact=8&amp;ved=2ahUKEwjY3pvV26DkAhWo_CoKHckJCX0QFjAAegQIARAC&amp;url=http%3A%2F%2Fmpes.government.bg%2FDocuments%2FDocuments%2FStrategii%2Fstrategy_youth_2012-2020.pdf&amp;usg=AOvVaw1WVX8xsHVDOAFtE1wIEseR" TargetMode="External"/><Relationship Id="rId144" Type="http://schemas.openxmlformats.org/officeDocument/2006/relationships/hyperlink" Target="http://strategy.bg/StrategicDocuments/View.aspx?lang=bg-BG&amp;Id=882" TargetMode="External"/><Relationship Id="rId149" Type="http://schemas.openxmlformats.org/officeDocument/2006/relationships/hyperlink" Target="http://bgregio.eu/media/files/Kandidatstvane/Aktualni%20sxemi/2014-2020/%D0%BE%D1%81%201/160418%20Nasoki%20os%201%20rev%202_FINAL.pdf" TargetMode="External"/><Relationship Id="rId5" Type="http://schemas.openxmlformats.org/officeDocument/2006/relationships/hyperlink" Target="https://www.activecitizensfund.bg/public/portfolios/view.cfm?id=21" TargetMode="External"/><Relationship Id="rId90" Type="http://schemas.openxmlformats.org/officeDocument/2006/relationships/hyperlink" Target="https://www.strategy.bg/StrategicDocuments/View.aspx?lang=bg-BG&amp;Id=726" TargetMode="External"/><Relationship Id="rId95" Type="http://schemas.openxmlformats.org/officeDocument/2006/relationships/hyperlink" Target="https://www.strategy.bg/StrategicDocuments/View.aspx?lang=bg-BG&amp;Id=790" TargetMode="External"/><Relationship Id="rId160" Type="http://schemas.openxmlformats.org/officeDocument/2006/relationships/hyperlink" Target="http://animusassociation.org/wp-content/uploads/2017/08/Koordinacionen-mehanizum-doma6no-nasilie.pdf" TargetMode="External"/><Relationship Id="rId165" Type="http://schemas.openxmlformats.org/officeDocument/2006/relationships/hyperlink" Target="http://osi.bg/downloads/File/2016/energy4.pdf" TargetMode="External"/><Relationship Id="rId22" Type="http://schemas.openxmlformats.org/officeDocument/2006/relationships/hyperlink" Target="https://lex.bg/laws/ldoc/2135453184" TargetMode="External"/><Relationship Id="rId27" Type="http://schemas.openxmlformats.org/officeDocument/2006/relationships/hyperlink" Target="https://lex.bg/laws/ldoc/1589654529" TargetMode="External"/><Relationship Id="rId43" Type="http://schemas.openxmlformats.org/officeDocument/2006/relationships/hyperlink" Target="https://www.lex.bg/bg/laws/ldoc/2137189213" TargetMode="External"/><Relationship Id="rId48" Type="http://schemas.openxmlformats.org/officeDocument/2006/relationships/hyperlink" Target="https://lex.bg/bg/laws/ldoc/2136641509" TargetMode="External"/><Relationship Id="rId64" Type="http://schemas.openxmlformats.org/officeDocument/2006/relationships/hyperlink" Target="https://www.lex.bg/laws/ldoc/2135472223" TargetMode="External"/><Relationship Id="rId69" Type="http://schemas.openxmlformats.org/officeDocument/2006/relationships/hyperlink" Target="https://www.lex.bg/bg/laws/ldoc/2136803084" TargetMode="External"/><Relationship Id="rId113" Type="http://schemas.openxmlformats.org/officeDocument/2006/relationships/hyperlink" Target="https://www.strategy.bg/StrategicDocuments/View.aspx?lang=bg-BG&amp;Id=601" TargetMode="External"/><Relationship Id="rId118" Type="http://schemas.openxmlformats.org/officeDocument/2006/relationships/hyperlink" Target="http://mpes.government.bg/Pages/Programmes/Default.aspx?evntid=tHQzKQ5zVw0%3D" TargetMode="External"/><Relationship Id="rId134" Type="http://schemas.openxmlformats.org/officeDocument/2006/relationships/hyperlink" Target="https://www.strategy.bg/StrategicDocuments/View.aspx?lang=bg-BG&amp;Id=790" TargetMode="External"/><Relationship Id="rId139" Type="http://schemas.openxmlformats.org/officeDocument/2006/relationships/hyperlink" Target="https://www.mlsp.government.bg/ckfinder/userfiles/files/politiki/demografska%20politika/nacionalni%20strategicheski%20dokumenti/National_agieng_strategy_2019-2030.pdf" TargetMode="External"/><Relationship Id="rId80" Type="http://schemas.openxmlformats.org/officeDocument/2006/relationships/hyperlink" Target="https://www.lex.bg/en/laws/ldoc/2136500695" TargetMode="External"/><Relationship Id="rId85" Type="http://schemas.openxmlformats.org/officeDocument/2006/relationships/hyperlink" Target="https://www.lex.bg/laws/ldoc/1597824512" TargetMode="External"/><Relationship Id="rId150" Type="http://schemas.openxmlformats.org/officeDocument/2006/relationships/hyperlink" Target="http://www.bgregio.eu/media/files/Programirane%20i%20ocenca/%D0%9E%D0%9F%D0%A0%D0%A0%202014-2020%20C%282015%294138.pdf" TargetMode="External"/><Relationship Id="rId155" Type="http://schemas.openxmlformats.org/officeDocument/2006/relationships/hyperlink" Target="https://www.strategy.bg/StrategicDocuments/View.aspx?lang=bg-BG&amp;Id=963" TargetMode="External"/><Relationship Id="rId171" Type="http://schemas.openxmlformats.org/officeDocument/2006/relationships/hyperlink" Target="https://www.mlsp.government.bg/index.php?section=POLICIESI&amp;I=249" TargetMode="External"/><Relationship Id="rId12" Type="http://schemas.openxmlformats.org/officeDocument/2006/relationships/hyperlink" Target="https://www.lex.bg/laws/ldoc/2135786802" TargetMode="External"/><Relationship Id="rId17" Type="http://schemas.openxmlformats.org/officeDocument/2006/relationships/hyperlink" Target="https://www.lex.bg/bg/laws/ldoc/2137187968" TargetMode="External"/><Relationship Id="rId33" Type="http://schemas.openxmlformats.org/officeDocument/2006/relationships/hyperlink" Target="http://www.gli.government.bg/bg/page.php?c=40&amp;page=0" TargetMode="External"/><Relationship Id="rId38" Type="http://schemas.openxmlformats.org/officeDocument/2006/relationships/hyperlink" Target="https://www.lex.bg/laws/ldoc/2134925825" TargetMode="External"/><Relationship Id="rId59" Type="http://schemas.openxmlformats.org/officeDocument/2006/relationships/hyperlink" Target="https://lex.bg/laws/ldoc/2134405633" TargetMode="External"/><Relationship Id="rId103" Type="http://schemas.openxmlformats.org/officeDocument/2006/relationships/hyperlink" Target="http://www.nccedi.government.bg/en/taxonomy/term/26" TargetMode="External"/><Relationship Id="rId108" Type="http://schemas.openxmlformats.org/officeDocument/2006/relationships/hyperlink" Target="https://www.strategy.bg/PublicConsultations/View.aspx?lang=bg-BG&amp;Id=4012" TargetMode="External"/><Relationship Id="rId124" Type="http://schemas.openxmlformats.org/officeDocument/2006/relationships/hyperlink" Target="https://www.mlsp.government.bg/index.php?section=POLICIESI&amp;I=249" TargetMode="External"/><Relationship Id="rId129" Type="http://schemas.openxmlformats.org/officeDocument/2006/relationships/hyperlink" Target="http://www.strategy.bg/StrategicDocuments/View.aspx?lang=bg-BG&amp;Id=986" TargetMode="External"/><Relationship Id="rId54" Type="http://schemas.openxmlformats.org/officeDocument/2006/relationships/hyperlink" Target="https://lex.bg/bg/laws/ldoc/2136641509" TargetMode="External"/><Relationship Id="rId70" Type="http://schemas.openxmlformats.org/officeDocument/2006/relationships/hyperlink" Target="https://lex.bg/laws/ldoc/1589654529" TargetMode="External"/><Relationship Id="rId75" Type="http://schemas.openxmlformats.org/officeDocument/2006/relationships/hyperlink" Target="https://www.lex.bg/laws/ldoc/2135540550" TargetMode="External"/><Relationship Id="rId91" Type="http://schemas.openxmlformats.org/officeDocument/2006/relationships/hyperlink" Target="https://www.mon.bg/bg/143" TargetMode="External"/><Relationship Id="rId96" Type="http://schemas.openxmlformats.org/officeDocument/2006/relationships/hyperlink" Target="https://www.mlsp.government.bg/index.php?section=POLICIESI&amp;I=249" TargetMode="External"/><Relationship Id="rId140" Type="http://schemas.openxmlformats.org/officeDocument/2006/relationships/hyperlink" Target="https://www.strategy.bg/StrategicDocuments/View.aspx?lang=bg-BG&amp;Id=778" TargetMode="External"/><Relationship Id="rId145" Type="http://schemas.openxmlformats.org/officeDocument/2006/relationships/hyperlink" Target="http://www.strategy.bg/StrategicDocuments/View.aspx?lang=bg-BG&amp;Id=431" TargetMode="External"/><Relationship Id="rId161" Type="http://schemas.openxmlformats.org/officeDocument/2006/relationships/hyperlink" Target="http://www.justice.government.bg/Files/&#1053;&#1072;&#1089;&#1086;&#1082;&#1080;_&#1079;&#1072;_&#1082;&#1072;&#1085;&#1076;&#1080;&#1076;&#1072;&#1090;&#1089;&#1090;&#1074;&#1072;&#1085;&#1077;_&#1044;&#1053;_2019_636867948606562148.pdf" TargetMode="External"/><Relationship Id="rId166" Type="http://schemas.openxmlformats.org/officeDocument/2006/relationships/hyperlink" Target="http://reach-energy.eu/wordpress/wp-content/uploads/2014/11/D2.2-EAP_BG.pdf" TargetMode="External"/><Relationship Id="rId1" Type="http://schemas.openxmlformats.org/officeDocument/2006/relationships/hyperlink" Target="https://lex.bg/bg/laws/ldoc/2136641509" TargetMode="External"/><Relationship Id="rId6" Type="http://schemas.openxmlformats.org/officeDocument/2006/relationships/hyperlink" Target="https://www.lex.bg/laws/ldoc/2134925825" TargetMode="External"/><Relationship Id="rId15" Type="http://schemas.openxmlformats.org/officeDocument/2006/relationships/hyperlink" Target="https://www.lex.bg/laws/ldoc/1597824512" TargetMode="External"/><Relationship Id="rId23" Type="http://schemas.openxmlformats.org/officeDocument/2006/relationships/hyperlink" Target="https://lex.bg/laws/ldoc/2134455296" TargetMode="External"/><Relationship Id="rId28" Type="http://schemas.openxmlformats.org/officeDocument/2006/relationships/hyperlink" Target="http://www.bghelsinki.org/en/news/bg/single/press-release-bulgarian-and-international-organizations-demand-immediate-justice-mihail-stoyanov/" TargetMode="External"/><Relationship Id="rId36" Type="http://schemas.openxmlformats.org/officeDocument/2006/relationships/hyperlink" Target="https://www.lex.bg/laws/ldoc/2135472223" TargetMode="External"/><Relationship Id="rId49" Type="http://schemas.openxmlformats.org/officeDocument/2006/relationships/hyperlink" Target="https://www.lex.bg/laws/ldoc/2135163904" TargetMode="External"/><Relationship Id="rId57" Type="http://schemas.openxmlformats.org/officeDocument/2006/relationships/hyperlink" Target="https://lex.bg/laws/ldoc/-12262909" TargetMode="External"/><Relationship Id="rId106" Type="http://schemas.openxmlformats.org/officeDocument/2006/relationships/hyperlink" Target="https://www.burgas.bg/bg/info/index/424" TargetMode="External"/><Relationship Id="rId114" Type="http://schemas.openxmlformats.org/officeDocument/2006/relationships/hyperlink" Target="http://strategy.bg/StrategicDocuments/View.aspx?lang=bg-BG&amp;Id=790" TargetMode="External"/><Relationship Id="rId119" Type="http://schemas.openxmlformats.org/officeDocument/2006/relationships/hyperlink" Target="http://strategy.bg/StrategicDocuments/View.aspx?lang=bg-BG&amp;Id=1048" TargetMode="External"/><Relationship Id="rId127" Type="http://schemas.openxmlformats.org/officeDocument/2006/relationships/hyperlink" Target="http://strategy.bg/StrategicDocuments/View.aspx?lang=bg-BG&amp;Id=1048" TargetMode="External"/><Relationship Id="rId10" Type="http://schemas.openxmlformats.org/officeDocument/2006/relationships/hyperlink" Target="https://www.lex.bg/bg/laws/ldoc/2137189213" TargetMode="External"/><Relationship Id="rId31" Type="http://schemas.openxmlformats.org/officeDocument/2006/relationships/hyperlink" Target="http://reach-energy.eu/wordpress/wp-content/uploads/2014/11/D2.2-EAP_BG.pdf" TargetMode="External"/><Relationship Id="rId44" Type="http://schemas.openxmlformats.org/officeDocument/2006/relationships/hyperlink" Target="https://www.lex.bg/laws/ldoc/2135472223" TargetMode="External"/><Relationship Id="rId52" Type="http://schemas.openxmlformats.org/officeDocument/2006/relationships/hyperlink" Target="https://lex.bg/laws/ldoc/-12262909" TargetMode="External"/><Relationship Id="rId60" Type="http://schemas.openxmlformats.org/officeDocument/2006/relationships/hyperlink" Target="https://www.lex.bg/bg/laws/ldoc/2137191914" TargetMode="External"/><Relationship Id="rId65" Type="http://schemas.openxmlformats.org/officeDocument/2006/relationships/hyperlink" Target="https://lex.bg/laws/ldoc/2135453184" TargetMode="External"/><Relationship Id="rId73" Type="http://schemas.openxmlformats.org/officeDocument/2006/relationships/hyperlink" Target="https://lex.bg/en/laws/ldoc/2135501151" TargetMode="External"/><Relationship Id="rId78" Type="http://schemas.openxmlformats.org/officeDocument/2006/relationships/hyperlink" Target="http://www.sac.government.bg/court22.nsf/d038edcf49190344c2256b7600367606/6d39ed781f2f38dfc2258417003e30c7?OpenDocument" TargetMode="External"/><Relationship Id="rId81" Type="http://schemas.openxmlformats.org/officeDocument/2006/relationships/hyperlink" Target="https://lex.bg/laws/ldoc/2134405633" TargetMode="External"/><Relationship Id="rId86" Type="http://schemas.openxmlformats.org/officeDocument/2006/relationships/hyperlink" Target="https://www.lex.bg/laws/ldoc/2135538631" TargetMode="External"/><Relationship Id="rId94" Type="http://schemas.openxmlformats.org/officeDocument/2006/relationships/hyperlink" Target="https://www.strategy.bg/StrategicDocuments/View.aspx?lang=bg-BG&amp;Id=870" TargetMode="External"/><Relationship Id="rId99" Type="http://schemas.openxmlformats.org/officeDocument/2006/relationships/hyperlink" Target="https://ec.europa.eu/info/policies/justice-and-fundamental-rights/combatting-discrimination/roma-and-eu/roma-integration-eu-country/roma-integration-bulgaria_en" TargetMode="External"/><Relationship Id="rId101" Type="http://schemas.openxmlformats.org/officeDocument/2006/relationships/hyperlink" Target="https://eeagrants.org/News/2016/Strengthened-cooperation-with-Bulgaria-in-the-judicial-and-business-sectors" TargetMode="External"/><Relationship Id="rId122" Type="http://schemas.openxmlformats.org/officeDocument/2006/relationships/hyperlink" Target="http://strategy.bg/StrategicDocuments/View.aspx?lang=bg-BG&amp;Id=989" TargetMode="External"/><Relationship Id="rId130" Type="http://schemas.openxmlformats.org/officeDocument/2006/relationships/hyperlink" Target="http://strategy.bg/Publications/View.aspx?lang=bg-BG&amp;Id=151" TargetMode="External"/><Relationship Id="rId135" Type="http://schemas.openxmlformats.org/officeDocument/2006/relationships/hyperlink" Target="https://www.strategy.bg/StrategicDocuments/View.aspx?lang=bg-BG&amp;Id=778" TargetMode="External"/><Relationship Id="rId143" Type="http://schemas.openxmlformats.org/officeDocument/2006/relationships/hyperlink" Target="http://www.strategy.bg/StrategicDocuments/View.aspx?Id=880" TargetMode="External"/><Relationship Id="rId148" Type="http://schemas.openxmlformats.org/officeDocument/2006/relationships/hyperlink" Target="https://www.strategy.bg/StrategicDocuments/View.aspx?lang=bg-BG&amp;Id=790" TargetMode="External"/><Relationship Id="rId151" Type="http://schemas.openxmlformats.org/officeDocument/2006/relationships/hyperlink" Target="https://www.strategy.bg/StrategicDocuments/View.aspx?lang=bg-BG&amp;Id=963" TargetMode="External"/><Relationship Id="rId156" Type="http://schemas.openxmlformats.org/officeDocument/2006/relationships/hyperlink" Target="http://www.strategy.bg/StrategicDocuments/View.aspx?Id=464" TargetMode="External"/><Relationship Id="rId164" Type="http://schemas.openxmlformats.org/officeDocument/2006/relationships/hyperlink" Target="https://www.strategy.bg/StrategicDocuments/View.aspx?lang=bg-BG&amp;Id=790" TargetMode="External"/><Relationship Id="rId169" Type="http://schemas.openxmlformats.org/officeDocument/2006/relationships/hyperlink" Target="https://www.minfin.bg/en/1297" TargetMode="External"/><Relationship Id="rId4" Type="http://schemas.openxmlformats.org/officeDocument/2006/relationships/hyperlink" Target="https://www.strategy.bg/StrategicDocuments/View.aspx?lang=bg-BG&amp;Id=726" TargetMode="External"/><Relationship Id="rId9" Type="http://schemas.openxmlformats.org/officeDocument/2006/relationships/hyperlink" Target="https://www.lex.bg/laws/ldoc/521957377" TargetMode="External"/><Relationship Id="rId13" Type="http://schemas.openxmlformats.org/officeDocument/2006/relationships/hyperlink" Target="https://www.google.com/url?sa=t&amp;rct=j&amp;q=&amp;esrc=s&amp;source=web&amp;cd=1&amp;cad=rja&amp;uact=8&amp;ved=2ahUKEwjY3pvV26DkAhWo_CoKHckJCX0QFjAAegQIARAC&amp;url=http%3A%2F%2Fmpes.government.bg%2FDocuments%2FDocuments%2FStrategii%2Fstrategy_youth_2012-2020.pdf&amp;usg=AOvVaw1WVX8xsHVDOAFtE1wIEseR" TargetMode="External"/><Relationship Id="rId18" Type="http://schemas.openxmlformats.org/officeDocument/2006/relationships/hyperlink" Target="https://www.lex.bg/laws/ldoc/-549700608" TargetMode="External"/><Relationship Id="rId39" Type="http://schemas.openxmlformats.org/officeDocument/2006/relationships/hyperlink" Target="https://www.lex.bg/laws/ldoc/2135469520" TargetMode="External"/><Relationship Id="rId109" Type="http://schemas.openxmlformats.org/officeDocument/2006/relationships/hyperlink" Target="http://strategy.bg/StrategicDocuments/View.aspx?lang=bg-BG&amp;Id=1223" TargetMode="External"/><Relationship Id="rId34" Type="http://schemas.openxmlformats.org/officeDocument/2006/relationships/hyperlink" Target="https://www.lex.bg/laws/ldoc/521957377" TargetMode="External"/><Relationship Id="rId50" Type="http://schemas.openxmlformats.org/officeDocument/2006/relationships/hyperlink" Target="https://www.mrrb.bg/bg/naredba-4-ot-2009-g-za-proektirane-izpulnenie-i-poddurjane-na-stroejite-v-suotvetstvie-s-iziskvaniyata-za-dostupna-sreda-za-naselenieto-vklyuchitelno-za-horata-s-uvrejdaniya-dv-br-54-ot-2009-g/" TargetMode="External"/><Relationship Id="rId55" Type="http://schemas.openxmlformats.org/officeDocument/2006/relationships/hyperlink" Target="https://www.lex.bg/laws/ldoc/521957377" TargetMode="External"/><Relationship Id="rId76" Type="http://schemas.openxmlformats.org/officeDocument/2006/relationships/hyperlink" Target="https://www.lex.bg/laws/ldoc/2135472223,%20Art%202,4" TargetMode="External"/><Relationship Id="rId97" Type="http://schemas.openxmlformats.org/officeDocument/2006/relationships/hyperlink" Target="http://amalipe.com/files/publications/rcm-civil-society-monitoring-report-1-bulgaria-2017.pdf" TargetMode="External"/><Relationship Id="rId104" Type="http://schemas.openxmlformats.org/officeDocument/2006/relationships/hyperlink" Target="http://www.strategy.bg/StrategicDocuments/View.aspx?Id=464" TargetMode="External"/><Relationship Id="rId120" Type="http://schemas.openxmlformats.org/officeDocument/2006/relationships/hyperlink" Target="http://strategy.bg/StrategicDocuments/View.aspx?lang=bg-BG&amp;Id=1048" TargetMode="External"/><Relationship Id="rId125" Type="http://schemas.openxmlformats.org/officeDocument/2006/relationships/hyperlink" Target="https://www.bghelsinki.org/en/news/press/single/delayed-reform-and-implementation-rights-persons-disabilities-bulgaria/" TargetMode="External"/><Relationship Id="rId141" Type="http://schemas.openxmlformats.org/officeDocument/2006/relationships/hyperlink" Target="https://www.strategy.bg/StrategicDocuments/View.aspx?lang=bg-BG&amp;Id=764" TargetMode="External"/><Relationship Id="rId146" Type="http://schemas.openxmlformats.org/officeDocument/2006/relationships/hyperlink" Target="http://www.strategy.bg/PublicConsultations/View.aspx?lang=bg-BG&amp;Id=3607" TargetMode="External"/><Relationship Id="rId167" Type="http://schemas.openxmlformats.org/officeDocument/2006/relationships/hyperlink" Target="http://www.strategy.bg/StrategicDocuments/View.aspx?lang=bg-BG&amp;Id=765" TargetMode="External"/><Relationship Id="rId7" Type="http://schemas.openxmlformats.org/officeDocument/2006/relationships/hyperlink" Target="http://www.strategy.bg/StrategicDocuments/View.aspx?Id=464" TargetMode="External"/><Relationship Id="rId71" Type="http://schemas.openxmlformats.org/officeDocument/2006/relationships/hyperlink" Target="https://www.lex.bg/laws/ldoc/2135467374" TargetMode="External"/><Relationship Id="rId92" Type="http://schemas.openxmlformats.org/officeDocument/2006/relationships/hyperlink" Target="https://www.strategy.bg/StrategicDocuments/View.aspx?lang=bg-BG&amp;Id=658" TargetMode="External"/><Relationship Id="rId162" Type="http://schemas.openxmlformats.org/officeDocument/2006/relationships/hyperlink" Target="https://bilitis.org/publications/" TargetMode="External"/><Relationship Id="rId2" Type="http://schemas.openxmlformats.org/officeDocument/2006/relationships/hyperlink" Target="https://lex.bg/laws/ldoc/2135453184" TargetMode="External"/><Relationship Id="rId29" Type="http://schemas.openxmlformats.org/officeDocument/2006/relationships/hyperlink" Target="https://lex.bg/laws/ldoc/2135475623" TargetMode="External"/><Relationship Id="rId24" Type="http://schemas.openxmlformats.org/officeDocument/2006/relationships/hyperlink" Target="https://www.lex.bg/laws/ldoc/2134916612" TargetMode="External"/><Relationship Id="rId40" Type="http://schemas.openxmlformats.org/officeDocument/2006/relationships/hyperlink" Target="https://www.lex.bg/laws/ldoc/2135472223" TargetMode="External"/><Relationship Id="rId45" Type="http://schemas.openxmlformats.org/officeDocument/2006/relationships/hyperlink" Target="https://www.lex.bg/laws/ldoc/2134925825" TargetMode="External"/><Relationship Id="rId66" Type="http://schemas.openxmlformats.org/officeDocument/2006/relationships/hyperlink" Target="https://www.lex.bg/en/laws/ldoc/2137169844" TargetMode="External"/><Relationship Id="rId87" Type="http://schemas.openxmlformats.org/officeDocument/2006/relationships/hyperlink" Target="https://lex.bg/laws/ldoc/-12262909" TargetMode="External"/><Relationship Id="rId110" Type="http://schemas.openxmlformats.org/officeDocument/2006/relationships/hyperlink" Target="https://antitraffic.government.bg/bg/help" TargetMode="External"/><Relationship Id="rId115" Type="http://schemas.openxmlformats.org/officeDocument/2006/relationships/hyperlink" Target="https://www.bghelsinki.org/media/uploads/annual_reports/annual-bhc-report-2018-issn-2367-6930-bg.pdf" TargetMode="External"/><Relationship Id="rId131" Type="http://schemas.openxmlformats.org/officeDocument/2006/relationships/hyperlink" Target="https://www.bs.government.bg/uploads/files/oblasten_plan_za_mladejta_2017.pdf" TargetMode="External"/><Relationship Id="rId136" Type="http://schemas.openxmlformats.org/officeDocument/2006/relationships/hyperlink" Target="http://www.strategy.bg/StrategicDocuments/View.aspx?Id=464" TargetMode="External"/><Relationship Id="rId157" Type="http://schemas.openxmlformats.org/officeDocument/2006/relationships/hyperlink" Target="https://www.strategy.bg/PublicConsultations/View.aspx?lang=bg-BG&amp;Id=4012" TargetMode="External"/><Relationship Id="rId61" Type="http://schemas.openxmlformats.org/officeDocument/2006/relationships/hyperlink" Target="https://www.lex.bg/laws/ldoc/2133874691" TargetMode="External"/><Relationship Id="rId82" Type="http://schemas.openxmlformats.org/officeDocument/2006/relationships/hyperlink" Target="https://www.lex.bg/laws/ldoc/2135588875" TargetMode="External"/><Relationship Id="rId152" Type="http://schemas.openxmlformats.org/officeDocument/2006/relationships/hyperlink" Target="https://antitraffic.government.bg/bg/help" TargetMode="External"/><Relationship Id="rId19" Type="http://schemas.openxmlformats.org/officeDocument/2006/relationships/hyperlink" Target="https://www.lex.bg/bg/laws/ldoc/2137191914" TargetMode="External"/><Relationship Id="rId14" Type="http://schemas.openxmlformats.org/officeDocument/2006/relationships/hyperlink" Target="https://www.lex.bg/bg/laws/ldoc/2137191914" TargetMode="External"/><Relationship Id="rId30" Type="http://schemas.openxmlformats.org/officeDocument/2006/relationships/hyperlink" Target="http://osi.bg/downloads/File/2016/energy4.pdf" TargetMode="External"/><Relationship Id="rId35" Type="http://schemas.openxmlformats.org/officeDocument/2006/relationships/hyperlink" Target="https://www.lex.bg/laws/ldoc/2135472223" TargetMode="External"/><Relationship Id="rId56" Type="http://schemas.openxmlformats.org/officeDocument/2006/relationships/hyperlink" Target="https://www.lex.bg/bg/laws/ldoc/2137191914" TargetMode="External"/><Relationship Id="rId77" Type="http://schemas.openxmlformats.org/officeDocument/2006/relationships/hyperlink" Target="https://www.lex.bg/laws/ldoc/521957377" TargetMode="External"/><Relationship Id="rId100" Type="http://schemas.openxmlformats.org/officeDocument/2006/relationships/hyperlink" Target="https://swiss-contribution.bg/projects/vklyuchvane-na-uyazvimi-grupi/tematichen-fond-podkrepa-za-sotsialnoto-vklyuchvane-na-romi-i-drugi-uyazvimi-grupi" TargetMode="External"/><Relationship Id="rId105" Type="http://schemas.openxmlformats.org/officeDocument/2006/relationships/hyperlink" Target="https://sacp.government.bg/%D0%BF%D0%BE%D0%BB%D0%B8%D1%82%D0%B8%D0%BA%D0%B0/%D1%81%D1%82%D1%80%D0%B0%D1%82%D0%B5%D0%B3%D0%B8%D0%B8-%D0%B8-%D0%BF%D1%80%D0%BE%D0%B3%D1%80%D0%B0%D0%BC%D0%B8" TargetMode="External"/><Relationship Id="rId126" Type="http://schemas.openxmlformats.org/officeDocument/2006/relationships/hyperlink" Target="https://ahu.mlsp.government.bg/portal/document/68173" TargetMode="External"/><Relationship Id="rId147" Type="http://schemas.openxmlformats.org/officeDocument/2006/relationships/hyperlink" Target="https://www.strategy.bg/StrategicDocuments/View.aspx?lang=bg-BG&amp;Id=432" TargetMode="External"/><Relationship Id="rId168" Type="http://schemas.openxmlformats.org/officeDocument/2006/relationships/hyperlink" Target="https://www.strategy.bg/StrategicDocuments/View.aspx?lang=bg-BG&amp;Id=858" TargetMode="External"/><Relationship Id="rId8" Type="http://schemas.openxmlformats.org/officeDocument/2006/relationships/hyperlink" Target="http://nmd.bg/wp-content/uploads/2012/05/1428_SIT._ANALYSIS_2012_bg_NEW_original.pdf" TargetMode="External"/><Relationship Id="rId51" Type="http://schemas.openxmlformats.org/officeDocument/2006/relationships/hyperlink" Target="https://www.lex.bg/laws/ldoc/2135786802" TargetMode="External"/><Relationship Id="rId72" Type="http://schemas.openxmlformats.org/officeDocument/2006/relationships/hyperlink" Target="https://www.lex.bg/laws/ldoc/2135637484" TargetMode="External"/><Relationship Id="rId93" Type="http://schemas.openxmlformats.org/officeDocument/2006/relationships/hyperlink" Target="https://www.strategy.bg/StrategicDocuments/View.aspx?lang=bg-BG&amp;Id=433" TargetMode="External"/><Relationship Id="rId98" Type="http://schemas.openxmlformats.org/officeDocument/2006/relationships/hyperlink" Target="https://www.bghelsinki.org/media/uploads/annual_reports/annual-bhc-report-2018-issn-2367-6930-bg.pdf" TargetMode="External"/><Relationship Id="rId121" Type="http://schemas.openxmlformats.org/officeDocument/2006/relationships/hyperlink" Target="http://strategy.bg/StrategicDocuments/View.aspx?lang=bg-BG&amp;Id=989" TargetMode="External"/><Relationship Id="rId142" Type="http://schemas.openxmlformats.org/officeDocument/2006/relationships/hyperlink" Target="http://ophrd.government.bg/" TargetMode="External"/><Relationship Id="rId163" Type="http://schemas.openxmlformats.org/officeDocument/2006/relationships/hyperlink" Target="http://strategy.bg/StrategicDocuments/View.aspx?lang=bg-BG&amp;Id=704" TargetMode="External"/><Relationship Id="rId3" Type="http://schemas.openxmlformats.org/officeDocument/2006/relationships/hyperlink" Target="http://strategy.bg/StrategicDocuments/View.aspx?lang=bg-BG&amp;Id=989" TargetMode="External"/><Relationship Id="rId25" Type="http://schemas.openxmlformats.org/officeDocument/2006/relationships/hyperlink" Target="https://www.lex.bg/laws/ldoc/2135637484" TargetMode="External"/><Relationship Id="rId46" Type="http://schemas.openxmlformats.org/officeDocument/2006/relationships/hyperlink" Target="https://www.lex.bg/bg/laws/ldoc/2137191914" TargetMode="External"/><Relationship Id="rId67" Type="http://schemas.openxmlformats.org/officeDocument/2006/relationships/hyperlink" Target="https://lex.bg/laws/ldoc/2134455296" TargetMode="External"/><Relationship Id="rId116" Type="http://schemas.openxmlformats.org/officeDocument/2006/relationships/hyperlink" Target="https://detebg.org/wp-content/uploads/2019/06/ANNUAL-REPORT_PRINT.pdf" TargetMode="External"/><Relationship Id="rId137" Type="http://schemas.openxmlformats.org/officeDocument/2006/relationships/hyperlink" Target="http://www.strategy.bg/StrategicDocuments/View.aspx?Id=880" TargetMode="External"/><Relationship Id="rId158" Type="http://schemas.openxmlformats.org/officeDocument/2006/relationships/hyperlink" Target="https://www.strategy.bg/StrategicDocuments/View.aspx?lang=bg-BG&amp;Id=1274" TargetMode="External"/><Relationship Id="rId20" Type="http://schemas.openxmlformats.org/officeDocument/2006/relationships/hyperlink" Target="http://bgregio.eu/media/files/Kandidatstvane/Aktualni%20sxemi/2014-2020/%D0%BE%D1%81%201/160418%20Nasoki%20os%201%20rev%202_FINAL.pdf" TargetMode="External"/><Relationship Id="rId41" Type="http://schemas.openxmlformats.org/officeDocument/2006/relationships/hyperlink" Target="https://www.lex.bg/bg/laws/ldoc/2137191914" TargetMode="External"/><Relationship Id="rId62" Type="http://schemas.openxmlformats.org/officeDocument/2006/relationships/hyperlink" Target="https://www.lex.bg/laws/ldoc/2135530445" TargetMode="External"/><Relationship Id="rId83" Type="http://schemas.openxmlformats.org/officeDocument/2006/relationships/hyperlink" Target="https://www.lex.bg/laws/ldoc/1594373121" TargetMode="External"/><Relationship Id="rId88" Type="http://schemas.openxmlformats.org/officeDocument/2006/relationships/hyperlink" Target="https://www.lex.bg/bg/laws/ldoc/2136803084" TargetMode="External"/><Relationship Id="rId111" Type="http://schemas.openxmlformats.org/officeDocument/2006/relationships/hyperlink" Target="https://www.strategy.bg/StrategicDocuments/View.aspx?lang=bg-BG&amp;Id=1237" TargetMode="External"/><Relationship Id="rId132" Type="http://schemas.openxmlformats.org/officeDocument/2006/relationships/hyperlink" Target="https://www.haskovo.bg/article/7460/obshtinski-plan-za-mladezhta-2019-g" TargetMode="External"/><Relationship Id="rId153" Type="http://schemas.openxmlformats.org/officeDocument/2006/relationships/hyperlink" Target="https://www.strategy.bg/StrategicDocuments/View.aspx?lang=bg-BG&amp;Id=123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1095B-8EC3-4874-9B1F-8DC2342EE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15673</Words>
  <Characters>89337</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2019-10-21T15:15:00Z</dcterms:created>
  <dcterms:modified xsi:type="dcterms:W3CDTF">2019-12-18T11:50:00Z</dcterms:modified>
</cp:coreProperties>
</file>